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Obstructive Sleep Apnea on 30-Day Readmissions Among Pediatric Patients Hospitalized for Asthma: An Analysis of the National Readmission Database</w:t>
      </w:r>
    </w:p>
    <w:p>
      <w:pPr>
        <w:pStyle w:val="Subtitle"/>
      </w:pPr>
      <w:r>
        <w:t xml:space="preserve">RCOP NRD B12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Asad Ali Ahmed Cheema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Khatana et al., 2024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evaluate the impact of comorbid obstructive sleep apnea on 30-day all-cause readmission among pediatric patients hospitalized with asthma. Secondary objectives included assessing time to readmission, resource utilization, and identifying predictors of readmission within this population using a nationally representative dataset.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This retrospective cohort study used data from the 2016–2017 Nationwide Readmissions Database (NRD), developed by the Healthcare Cost and Utilization Project (HCUP). The NRD is a nationally representative, all-payer database of U.S. hospitalizations that allows linkage of patients across hospital stays within a calendar year. Survey weights, stratification, and clustering variables support complex sampling design for national estimates.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Patients were eligible for inclusion if they met all of the following criteria:</w:t>
      </w:r>
    </w:p>
    <w:p>
      <w:pPr>
        <w:numPr>
          <w:ilvl w:val="1"/>
          <w:numId w:val="1003"/>
        </w:numPr>
      </w:pPr>
      <w:r>
        <w:t xml:space="preserve">Patients aged ≤ 18 years</w:t>
      </w:r>
    </w:p>
    <w:p>
      <w:pPr>
        <w:numPr>
          <w:ilvl w:val="1"/>
          <w:numId w:val="1003"/>
        </w:numPr>
      </w:pPr>
      <w:r>
        <w:t xml:space="preserve">Principal diagnosis of asthma based on specific ICD-10-CM code `J45’</w:t>
      </w:r>
    </w:p>
    <w:p>
      <w:pPr>
        <w:numPr>
          <w:ilvl w:val="1"/>
          <w:numId w:val="1003"/>
        </w:numPr>
      </w:pPr>
      <w:r>
        <w:t xml:space="preserve">Information for obstructive sleep apnea not missing</w:t>
      </w:r>
    </w:p>
    <w:p>
      <w:pPr>
        <w:numPr>
          <w:ilvl w:val="1"/>
          <w:numId w:val="1003"/>
        </w:numPr>
      </w:pPr>
      <w:r>
        <w:t xml:space="preserve">Non-elective admission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LOS and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t xml:space="preserve">Primary Outcome:</w:t>
      </w:r>
    </w:p>
    <w:p>
      <w:pPr>
        <w:pStyle w:val="Compact"/>
        <w:numPr>
          <w:ilvl w:val="2"/>
          <w:numId w:val="1005"/>
        </w:numPr>
      </w:pPr>
      <w:r>
        <w:t xml:space="preserve">30-day all-cause readmission (Yes/No), flagged using NRD linkage variables</w:t>
      </w:r>
    </w:p>
    <w:p>
      <w:pPr>
        <w:numPr>
          <w:ilvl w:val="1"/>
          <w:numId w:val="1004"/>
        </w:numPr>
      </w:pPr>
      <w:r>
        <w:t xml:space="preserve">Secondary Outcomes (index admission):</w:t>
      </w:r>
    </w:p>
    <w:p>
      <w:pPr>
        <w:numPr>
          <w:ilvl w:val="2"/>
          <w:numId w:val="1006"/>
        </w:numPr>
      </w:pPr>
      <w:r>
        <w:t xml:space="preserve">In-hospital mortality (binary)</w:t>
      </w:r>
    </w:p>
    <w:p>
      <w:pPr>
        <w:numPr>
          <w:ilvl w:val="2"/>
          <w:numId w:val="1006"/>
        </w:numPr>
      </w:pPr>
      <w:r>
        <w:t xml:space="preserve">Length of stay (LOS, in days)</w:t>
      </w:r>
    </w:p>
    <w:p>
      <w:pPr>
        <w:numPr>
          <w:ilvl w:val="2"/>
          <w:numId w:val="1006"/>
        </w:numPr>
      </w:pPr>
      <w:r>
        <w:t xml:space="preserve">Total hospitalization charges (TOTCHG), inflation-adjusted to 2017 USD</w:t>
      </w:r>
    </w:p>
    <w:p>
      <w:pPr>
        <w:numPr>
          <w:ilvl w:val="2"/>
          <w:numId w:val="1006"/>
        </w:numPr>
      </w:pPr>
      <w:r>
        <w:t xml:space="preserve">Non-home discharge</w:t>
      </w:r>
    </w:p>
    <w:p>
      <w:pPr>
        <w:numPr>
          <w:ilvl w:val="1"/>
          <w:numId w:val="1004"/>
        </w:numPr>
      </w:pPr>
      <w:r>
        <w:t xml:space="preserve">Readmission Characteristics:</w:t>
      </w:r>
    </w:p>
    <w:p>
      <w:pPr>
        <w:numPr>
          <w:ilvl w:val="2"/>
          <w:numId w:val="1007"/>
        </w:numPr>
      </w:pPr>
      <w:r>
        <w:t xml:space="preserve">In-hospital mortality (binary)</w:t>
      </w:r>
    </w:p>
    <w:p>
      <w:pPr>
        <w:numPr>
          <w:ilvl w:val="2"/>
          <w:numId w:val="1007"/>
        </w:numPr>
      </w:pPr>
      <w:r>
        <w:t xml:space="preserve">Length of stay (LOS, in days)</w:t>
      </w:r>
    </w:p>
    <w:p>
      <w:pPr>
        <w:numPr>
          <w:ilvl w:val="2"/>
          <w:numId w:val="1007"/>
        </w:numPr>
      </w:pPr>
      <w:r>
        <w:t xml:space="preserve">Total hospitalization charges (inflation-adjusted to 2017 USD)</w:t>
      </w:r>
    </w:p>
    <w:p>
      <w:pPr>
        <w:numPr>
          <w:ilvl w:val="2"/>
          <w:numId w:val="1007"/>
        </w:numPr>
      </w:pPr>
      <w:r>
        <w:t xml:space="preserve">Time to readmission (in days)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8"/>
        </w:numPr>
      </w:pPr>
      <w:r>
        <w:t xml:space="preserve">Readmission:</w:t>
      </w:r>
    </w:p>
    <w:p>
      <w:pPr>
        <w:numPr>
          <w:ilvl w:val="2"/>
          <w:numId w:val="1009"/>
        </w:numPr>
      </w:pPr>
      <w:r>
        <w:t xml:space="preserve">Defined using HCUP NRD’s methodology. Readmissions were identified only among patients with qualifying index events.</w:t>
      </w:r>
    </w:p>
    <w:p>
      <w:pPr>
        <w:numPr>
          <w:ilvl w:val="2"/>
          <w:numId w:val="1009"/>
        </w:numPr>
      </w:pPr>
      <w:r>
        <w:t xml:space="preserve">Trauma-related hospitalizations were excluded only from the readmission pool to avoid injury-related returns.</w:t>
      </w:r>
    </w:p>
    <w:p>
      <w:pPr>
        <w:numPr>
          <w:ilvl w:val="1"/>
          <w:numId w:val="1008"/>
        </w:numPr>
      </w:pPr>
      <w:r>
        <w:t xml:space="preserve">Mortality:</w:t>
      </w:r>
    </w:p>
    <w:p>
      <w:pPr>
        <w:pStyle w:val="Compact"/>
        <w:numPr>
          <w:ilvl w:val="2"/>
          <w:numId w:val="1010"/>
        </w:numPr>
      </w:pPr>
      <w:r>
        <w:t xml:space="preserve">In-hospital death recorded during index or readmission (DIED = 1)</w:t>
      </w:r>
    </w:p>
    <w:p>
      <w:pPr>
        <w:numPr>
          <w:ilvl w:val="1"/>
          <w:numId w:val="1008"/>
        </w:numPr>
      </w:pPr>
      <w:r>
        <w:t xml:space="preserve">LOS:</w:t>
      </w:r>
    </w:p>
    <w:p>
      <w:pPr>
        <w:pStyle w:val="Compact"/>
        <w:numPr>
          <w:ilvl w:val="2"/>
          <w:numId w:val="1011"/>
        </w:numPr>
      </w:pPr>
      <w:r>
        <w:t xml:space="preserve">Reported in days; modeled as count outcome</w:t>
      </w:r>
    </w:p>
    <w:p>
      <w:pPr>
        <w:numPr>
          <w:ilvl w:val="1"/>
          <w:numId w:val="1008"/>
        </w:numPr>
      </w:pPr>
      <w:r>
        <w:t xml:space="preserve">Charge:</w:t>
      </w:r>
    </w:p>
    <w:p>
      <w:pPr>
        <w:pStyle w:val="Compact"/>
        <w:numPr>
          <w:ilvl w:val="2"/>
          <w:numId w:val="1012"/>
        </w:numPr>
      </w:pPr>
      <w:r>
        <w:t xml:space="preserve">Derived from HCUP’s TOTCHG variable and adjusted to 2017 dollars using Consumer Price Index (CPI) 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13"/>
        </w:numPr>
      </w:pPr>
      <w:r>
        <w:t xml:space="preserve">Demographic &amp; Socioeconomic Factors:</w:t>
      </w:r>
    </w:p>
    <w:p>
      <w:pPr>
        <w:numPr>
          <w:ilvl w:val="2"/>
          <w:numId w:val="1014"/>
        </w:numPr>
      </w:pPr>
      <w:r>
        <w:t xml:space="preserve">Age</w:t>
      </w:r>
    </w:p>
    <w:p>
      <w:pPr>
        <w:numPr>
          <w:ilvl w:val="2"/>
          <w:numId w:val="1014"/>
        </w:numPr>
      </w:pPr>
      <w:r>
        <w:t xml:space="preserve">Sex</w:t>
      </w:r>
    </w:p>
    <w:p>
      <w:pPr>
        <w:numPr>
          <w:ilvl w:val="2"/>
          <w:numId w:val="1014"/>
        </w:numPr>
      </w:pPr>
      <w:r>
        <w:t xml:space="preserve">Patient’s residence</w:t>
      </w:r>
    </w:p>
    <w:p>
      <w:pPr>
        <w:numPr>
          <w:ilvl w:val="2"/>
          <w:numId w:val="1014"/>
        </w:numPr>
      </w:pPr>
      <w:r>
        <w:t xml:space="preserve">Primary expected payer (Insurance; Medicare, Medicaid, Private, Other)</w:t>
      </w:r>
    </w:p>
    <w:p>
      <w:pPr>
        <w:numPr>
          <w:ilvl w:val="2"/>
          <w:numId w:val="1014"/>
        </w:numPr>
      </w:pPr>
      <w:r>
        <w:t xml:space="preserve">ZIP-based median income quartile</w:t>
      </w:r>
    </w:p>
    <w:p>
      <w:pPr>
        <w:numPr>
          <w:ilvl w:val="1"/>
          <w:numId w:val="1013"/>
        </w:numPr>
      </w:pPr>
      <w:r>
        <w:t xml:space="preserve">Clinical Characteristics:</w:t>
      </w:r>
    </w:p>
    <w:p>
      <w:pPr>
        <w:numPr>
          <w:ilvl w:val="2"/>
          <w:numId w:val="1015"/>
        </w:numPr>
      </w:pPr>
      <w:r>
        <w:t xml:space="preserve">Number of comorbidities</w:t>
      </w:r>
    </w:p>
    <w:p>
      <w:pPr>
        <w:numPr>
          <w:ilvl w:val="2"/>
          <w:numId w:val="1015"/>
        </w:numPr>
      </w:pPr>
      <w:r>
        <w:t xml:space="preserve">Elixhauser comorbidity index</w:t>
      </w:r>
    </w:p>
    <w:p>
      <w:pPr>
        <w:numPr>
          <w:ilvl w:val="1"/>
          <w:numId w:val="1013"/>
        </w:numPr>
      </w:pPr>
      <w:r>
        <w:t xml:space="preserve">Hospital Characteristics:</w:t>
      </w:r>
    </w:p>
    <w:p>
      <w:pPr>
        <w:numPr>
          <w:ilvl w:val="2"/>
          <w:numId w:val="1016"/>
        </w:numPr>
      </w:pPr>
      <w:r>
        <w:t xml:space="preserve">Weekend admission</w:t>
      </w:r>
    </w:p>
    <w:p>
      <w:pPr>
        <w:numPr>
          <w:ilvl w:val="2"/>
          <w:numId w:val="1016"/>
        </w:numPr>
      </w:pPr>
      <w:r>
        <w:t xml:space="preserve">Hospital bed size (Small, Medium, Large)</w:t>
      </w:r>
    </w:p>
    <w:p>
      <w:pPr>
        <w:numPr>
          <w:ilvl w:val="2"/>
          <w:numId w:val="1016"/>
        </w:numPr>
      </w:pPr>
      <w:r>
        <w:t xml:space="preserve">Urban/rural teaching status (Metropolitan, teaching vs non-teaching, etc.)</w:t>
      </w:r>
    </w:p>
    <w:p>
      <w:pPr>
        <w:numPr>
          <w:ilvl w:val="1"/>
          <w:numId w:val="1013"/>
        </w:numPr>
      </w:pPr>
      <w:r>
        <w:t xml:space="preserve">Disposition and Severity:</w:t>
      </w:r>
    </w:p>
    <w:p>
      <w:pPr>
        <w:numPr>
          <w:ilvl w:val="2"/>
          <w:numId w:val="1017"/>
        </w:numPr>
      </w:pPr>
      <w:r>
        <w:t xml:space="preserve">Discharge disposition</w:t>
      </w:r>
    </w:p>
    <w:p>
      <w:pPr>
        <w:numPr>
          <w:ilvl w:val="2"/>
          <w:numId w:val="1017"/>
        </w:numPr>
      </w:pPr>
      <w:r>
        <w:t xml:space="preserve">Length of stay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8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9"/>
        </w:numPr>
      </w:pPr>
      <w:r>
        <w:t xml:space="preserve">All analyses accounted for NRD’s complex survey design using weights (DISCWT), strata (NRD_STRATUM), and clustering (HOSP_NRD). Survey-adjusted methods were implemented via survey and srvyr packages.</w:t>
      </w:r>
    </w:p>
    <w:p>
      <w:pPr>
        <w:numPr>
          <w:ilvl w:val="1"/>
          <w:numId w:val="1018"/>
        </w:numPr>
      </w:pPr>
      <w:r>
        <w:t xml:space="preserve">Descriptive Analyses:</w:t>
      </w:r>
    </w:p>
    <w:p>
      <w:pPr>
        <w:numPr>
          <w:ilvl w:val="2"/>
          <w:numId w:val="1020"/>
        </w:numPr>
      </w:pPr>
      <w:r>
        <w:t xml:space="preserve">Summary of baseline characteristics and index admission outcomes</w:t>
      </w:r>
    </w:p>
    <w:p>
      <w:pPr>
        <w:numPr>
          <w:ilvl w:val="2"/>
          <w:numId w:val="1020"/>
        </w:numPr>
      </w:pPr>
      <w:r>
        <w:t xml:space="preserve">P-values from design-based statistical tests (Rao–Scott adjusted chi-square for categorical variables; design-based Kruskal–Wallis test for continuous variables).</w:t>
      </w:r>
    </w:p>
    <w:p>
      <w:pPr>
        <w:numPr>
          <w:ilvl w:val="1"/>
          <w:numId w:val="1018"/>
        </w:numPr>
      </w:pPr>
      <w:r>
        <w:t xml:space="preserve">Multivariable Regression:</w:t>
      </w:r>
    </w:p>
    <w:p>
      <w:pPr>
        <w:numPr>
          <w:ilvl w:val="2"/>
          <w:numId w:val="1021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21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1"/>
        </w:numPr>
      </w:pPr>
      <w:r>
        <w:t xml:space="preserve">Results were exponentiated to yield odds ratios (ORs) with 95% confidence intervals.</w:t>
      </w:r>
    </w:p>
    <w:p>
      <w:pPr>
        <w:numPr>
          <w:ilvl w:val="1"/>
          <w:numId w:val="1018"/>
        </w:numPr>
      </w:pPr>
      <w:r>
        <w:t xml:space="preserve">Readmission Characteristics:</w:t>
      </w:r>
    </w:p>
    <w:p>
      <w:pPr>
        <w:numPr>
          <w:ilvl w:val="1"/>
          <w:numId w:val="1000"/>
        </w:numPr>
      </w:pPr>
      <w:r>
        <w:t xml:space="preserve">Among readmitted patients, the following were summarized using survey-weighted statistics:</w:t>
      </w:r>
    </w:p>
    <w:p>
      <w:pPr>
        <w:numPr>
          <w:ilvl w:val="2"/>
          <w:numId w:val="1022"/>
        </w:numPr>
      </w:pPr>
      <w:r>
        <w:t xml:space="preserve">Time to readmission</w:t>
      </w:r>
    </w:p>
    <w:p>
      <w:pPr>
        <w:numPr>
          <w:ilvl w:val="2"/>
          <w:numId w:val="1022"/>
        </w:numPr>
      </w:pPr>
      <w:r>
        <w:t xml:space="preserve">Length of stay and total charges during the readmission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4" w:name="descriptive-analyses"/>
    <w:p>
      <w:pPr>
        <w:pStyle w:val="Heading2"/>
      </w:pPr>
      <w:r>
        <w:t xml:space="preserve">Descriptive Analyses</w:t>
      </w:r>
    </w:p>
    <w:bookmarkStart w:id="22" w:name="baseline-characteristics"/>
    <w:p>
      <w:pPr>
        <w:pStyle w:val="Heading3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135,772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Asthma with obstructive sleep apnea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2,665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Asthma without obstructive sleep apnea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133,108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0–6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78,094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77,143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13–18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16,365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15,755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7–12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41,314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40,210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83,508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1,568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81,940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52,264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51,168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55,369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54,205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32,630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31,968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27,258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26,752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19,548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19,234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Central metro ≥1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51,514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50,326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Fringe metro ≥1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36,295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35,598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 250,000-999,999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25,488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25,007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 50,000-249,999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10,272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10,157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6,861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6,735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5,261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5,202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98,519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1,983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96,536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37,253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36,571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16,455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16,181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84,942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1,823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83,120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34,375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33,807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13,460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13,325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116,199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113,701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6,113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6,082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93,057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2,001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91,056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6,162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6,065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36,286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35,719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134,524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2,510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132,014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1,248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1,094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bookmarkEnd w:id="22"/>
    <w:bookmarkStart w:id="23" w:name="outcomes-of-index-hospitalizations"/>
    <w:p>
      <w:pPr>
        <w:pStyle w:val="Heading3"/>
      </w:pPr>
      <w:r>
        <w:t xml:space="preserve">Outcomes of Index Hospitalizations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135,772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Asthma with obstructive sleep apnea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2,665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Asthma without obstructive sleep apnea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133,108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3,775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3,592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12,375 (7,652, 20,598)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17,600 (10,595, 34,438)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12,304 (7,617, 20,378)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1,193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End w:id="24"/>
    <w:bookmarkStart w:id="25" w:name="day-readmission-timing-unadjusted"/>
    <w:p>
      <w:pPr>
        <w:pStyle w:val="Heading2"/>
      </w:pPr>
      <w:r>
        <w:t xml:space="preserve">30-Day Readmission Timing (Unadjusted)</w:t>
      </w:r>
    </w:p>
    <w:p>
      <w:pPr>
        <w:pStyle w:val="FirstParagraph"/>
      </w:pPr>
      <w:r>
        <w:t xml:space="preserve">The median time to 30-day readmission following index hospitalization was 16 days (IQR: 8–23).</w:t>
      </w:r>
    </w:p>
    <w:bookmarkEnd w:id="25"/>
    <w:bookmarkStart w:id="28" w:name="X7d0a1c2a05e84965e19936ca624ae03f9f9afcd"/>
    <w:p>
      <w:pPr>
        <w:pStyle w:val="Heading2"/>
      </w:pPr>
      <w:r>
        <w:t xml:space="preserve">Readmission Hospitalization Characteristics</w:t>
      </w:r>
    </w:p>
    <w:bookmarkStart w:id="26" w:name="Xa37a556a6d20fd6b07c73bea42073aeff147ee8"/>
    <w:p>
      <w:pPr>
        <w:pStyle w:val="Heading3"/>
      </w:pPr>
      <w:r>
        <w:t xml:space="preserve">In-Hospital Mortality Among Readmitted Patients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3"/>
        </w:numPr>
      </w:pPr>
      <w:r>
        <w:t xml:space="preserve">Deaths (n): 14</w:t>
      </w:r>
    </w:p>
    <w:p>
      <w:pPr>
        <w:numPr>
          <w:ilvl w:val="0"/>
          <w:numId w:val="1023"/>
        </w:numPr>
      </w:pPr>
      <w:r>
        <w:t xml:space="preserve">Death Rate (%): 0.38%</w:t>
      </w:r>
    </w:p>
    <w:p>
      <w:pPr>
        <w:numPr>
          <w:ilvl w:val="0"/>
          <w:numId w:val="1023"/>
        </w:numPr>
      </w:pPr>
      <w:r>
        <w:t xml:space="preserve">Death Rate (95% CI): 0.09% to 0.66%</w:t>
      </w:r>
    </w:p>
    <w:bookmarkEnd w:id="26"/>
    <w:bookmarkStart w:id="27" w:name="resource-utilization-during-readmission"/>
    <w:p>
      <w:pPr>
        <w:pStyle w:val="Heading3"/>
      </w:pPr>
      <w:r>
        <w:t xml:space="preserve">Resource Utilization During Readmission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4"/>
        </w:numPr>
      </w:pPr>
      <w:r>
        <w:t xml:space="preserve">Median Length of Stay (IQR), days: 2 (IQR: 1–3)</w:t>
      </w:r>
    </w:p>
    <w:p>
      <w:pPr>
        <w:numPr>
          <w:ilvl w:val="0"/>
          <w:numId w:val="1024"/>
        </w:numPr>
      </w:pPr>
      <w:r>
        <w:t xml:space="preserve">Median Total Charges (IQR): $15,455 (IQR: $9,631–$28,801)</w:t>
      </w:r>
    </w:p>
    <w:bookmarkEnd w:id="27"/>
    <w:bookmarkEnd w:id="28"/>
    <w:bookmarkStart w:id="30" w:name="multivariable-analyses"/>
    <w:p>
      <w:pPr>
        <w:pStyle w:val="Heading2"/>
      </w:pPr>
      <w:r>
        <w:t xml:space="preserve">Multivariable Analyses</w:t>
      </w:r>
    </w:p>
    <w:bookmarkStart w:id="29" w:name="Xc3dd9450622ca6a79fdfe146281f7a6f8e6031c"/>
    <w:p>
      <w:pPr>
        <w:pStyle w:val="Heading3"/>
      </w:pPr>
      <w:r>
        <w:t xml:space="preserve">Multivariable Predictors of 30-Day Readmission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Asthma with 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Asthma without 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0–6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13–18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7–12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Central metro ≥1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Fringe metro ≥1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 250,000-999,999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 50,000-249,999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1.52, 4.16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mdpi.com/2227-9067/11/8/10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mdpi.com/2227-9067/11/8/10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Obstructive Sleep Apnea on 30-Day Readmissions Among Pediatric Patients Hospitalized for Asthma: An Analysis of the National Readmission Database</dc:title>
  <dc:creator>Eliza Aisha; Asad Ali Ahmed Cheema</dc:creator>
  <cp:keywords/>
  <dcterms:created xsi:type="dcterms:W3CDTF">2025-11-28T11:56:44Z</dcterms:created>
  <dcterms:modified xsi:type="dcterms:W3CDTF">2025-11-28T11:56:44Z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RCOP NRD B12</vt:lpwstr>
  </property>
  <property fmtid="{D5CDD505-2E9C-101B-9397-08002B2CF9AE}" pid="12" name="toc-title">
    <vt:lpwstr>Table of contents</vt:lpwstr>
  </property>
</Properties>
</file>