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Obstructive Sleep Apnea on 30-Day Readmissions Among Pediatric Patients Hospitalized for Asthma: An Analysis of the National Readmission Database</w:t>
      </w:r>
    </w:p>
    <w:p>
      <w:pPr>
        <w:pStyle w:val="Subtitle"/>
      </w:pPr>
      <w:r>
        <w:t xml:space="preserve">RCOP NRD A13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Khatana et al., 2024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comorbid obstructive sleep apnea on 30-day all-cause readmission among pediatric patients hospitalized with asthma. Secondary objectives included assessing time to readmission,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≤ 18 years</w:t>
      </w:r>
    </w:p>
    <w:p>
      <w:pPr>
        <w:numPr>
          <w:ilvl w:val="1"/>
          <w:numId w:val="1003"/>
        </w:numPr>
      </w:pPr>
      <w:r>
        <w:t xml:space="preserve">AECOPD diagnosis:</w:t>
      </w:r>
    </w:p>
    <w:p>
      <w:pPr>
        <w:numPr>
          <w:ilvl w:val="2"/>
          <w:numId w:val="1004"/>
        </w:numPr>
      </w:pPr>
      <w:r>
        <w:t xml:space="preserve">Principal diagnosis of asthma based on specific ICD-10-CM codes:</w:t>
      </w:r>
    </w:p>
    <w:p>
      <w:pPr>
        <w:pStyle w:val="Compact"/>
        <w:numPr>
          <w:ilvl w:val="3"/>
          <w:numId w:val="1005"/>
        </w:numPr>
      </w:pPr>
      <w:r>
        <w:t xml:space="preserve">`J45’</w:t>
      </w:r>
    </w:p>
    <w:p>
      <w:pPr>
        <w:numPr>
          <w:ilvl w:val="1"/>
          <w:numId w:val="1003"/>
        </w:numPr>
      </w:pPr>
      <w:r>
        <w:t xml:space="preserve">Information for obstructive sleep apnea not missing</w:t>
      </w:r>
    </w:p>
    <w:p>
      <w:pPr>
        <w:numPr>
          <w:ilvl w:val="1"/>
          <w:numId w:val="1003"/>
        </w:numPr>
      </w:pPr>
      <w:r>
        <w:t xml:space="preserve">Non-elective admission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6"/>
        </w:numPr>
      </w:pPr>
      <w:r>
        <w:t xml:space="preserve">Primary Outcome:</w:t>
      </w:r>
    </w:p>
    <w:p>
      <w:pPr>
        <w:pStyle w:val="Compact"/>
        <w:numPr>
          <w:ilvl w:val="2"/>
          <w:numId w:val="1007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6"/>
        </w:numPr>
      </w:pPr>
      <w:r>
        <w:t xml:space="preserve">Secondary Outcomes (index admission):</w:t>
      </w:r>
    </w:p>
    <w:p>
      <w:pPr>
        <w:numPr>
          <w:ilvl w:val="2"/>
          <w:numId w:val="1008"/>
        </w:numPr>
      </w:pPr>
      <w:r>
        <w:t xml:space="preserve">Length of stay (LOS, in days)</w:t>
      </w:r>
    </w:p>
    <w:p>
      <w:pPr>
        <w:numPr>
          <w:ilvl w:val="2"/>
          <w:numId w:val="1008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8"/>
        </w:numPr>
      </w:pPr>
      <w:r>
        <w:t xml:space="preserve">Non-home discharge</w:t>
      </w:r>
    </w:p>
    <w:p>
      <w:pPr>
        <w:numPr>
          <w:ilvl w:val="1"/>
          <w:numId w:val="1006"/>
        </w:numPr>
      </w:pPr>
      <w:r>
        <w:t xml:space="preserve">Readmission Characteristics:</w:t>
      </w:r>
    </w:p>
    <w:p>
      <w:pPr>
        <w:numPr>
          <w:ilvl w:val="2"/>
          <w:numId w:val="1009"/>
        </w:numPr>
      </w:pPr>
      <w:r>
        <w:t xml:space="preserve">Length of stay (LOS, in days)</w:t>
      </w:r>
    </w:p>
    <w:p>
      <w:pPr>
        <w:numPr>
          <w:ilvl w:val="2"/>
          <w:numId w:val="1009"/>
        </w:numPr>
      </w:pPr>
      <w:r>
        <w:t xml:space="preserve">Total hospitalization charges (inflation-adjusted to 2017 USD)</w:t>
      </w:r>
    </w:p>
    <w:p>
      <w:pPr>
        <w:numPr>
          <w:ilvl w:val="2"/>
          <w:numId w:val="1009"/>
        </w:numPr>
      </w:pPr>
      <w:r>
        <w:t xml:space="preserve">Time to readmission (in days)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10"/>
        </w:numPr>
      </w:pPr>
      <w:r>
        <w:t xml:space="preserve">Readmission:</w:t>
      </w:r>
    </w:p>
    <w:p>
      <w:pPr>
        <w:numPr>
          <w:ilvl w:val="2"/>
          <w:numId w:val="1011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11"/>
        </w:numPr>
      </w:pPr>
      <w:r>
        <w:t xml:space="preserve">Trauma-related hospitalizations were excluded only from the readmission pool to avoid unrelated admissions.</w:t>
      </w:r>
    </w:p>
    <w:p>
      <w:pPr>
        <w:numPr>
          <w:ilvl w:val="1"/>
          <w:numId w:val="1010"/>
        </w:numPr>
      </w:pPr>
      <w:r>
        <w:t xml:space="preserve">LOS:</w:t>
      </w:r>
    </w:p>
    <w:p>
      <w:pPr>
        <w:pStyle w:val="Compact"/>
        <w:numPr>
          <w:ilvl w:val="2"/>
          <w:numId w:val="1012"/>
        </w:numPr>
      </w:pPr>
      <w:r>
        <w:t xml:space="preserve">Reported in days; modeled as count outcome</w:t>
      </w:r>
    </w:p>
    <w:p>
      <w:pPr>
        <w:numPr>
          <w:ilvl w:val="1"/>
          <w:numId w:val="1010"/>
        </w:numPr>
      </w:pPr>
      <w:r>
        <w:t xml:space="preserve">Charge:</w:t>
      </w:r>
    </w:p>
    <w:p>
      <w:pPr>
        <w:pStyle w:val="Compact"/>
        <w:numPr>
          <w:ilvl w:val="2"/>
          <w:numId w:val="1013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4"/>
        </w:numPr>
      </w:pPr>
      <w:r>
        <w:t xml:space="preserve">Demographic &amp; Socioeconomic Factors:</w:t>
      </w:r>
    </w:p>
    <w:p>
      <w:pPr>
        <w:numPr>
          <w:ilvl w:val="2"/>
          <w:numId w:val="1015"/>
        </w:numPr>
      </w:pPr>
      <w:r>
        <w:t xml:space="preserve">Age</w:t>
      </w:r>
    </w:p>
    <w:p>
      <w:pPr>
        <w:numPr>
          <w:ilvl w:val="2"/>
          <w:numId w:val="1015"/>
        </w:numPr>
      </w:pPr>
      <w:r>
        <w:t xml:space="preserve">Sex</w:t>
      </w:r>
    </w:p>
    <w:p>
      <w:pPr>
        <w:numPr>
          <w:ilvl w:val="2"/>
          <w:numId w:val="1015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5"/>
        </w:numPr>
      </w:pPr>
      <w:r>
        <w:t xml:space="preserve">ZIP-based median income quartile</w:t>
      </w:r>
    </w:p>
    <w:p>
      <w:pPr>
        <w:numPr>
          <w:ilvl w:val="1"/>
          <w:numId w:val="1014"/>
        </w:numPr>
      </w:pPr>
      <w:r>
        <w:t xml:space="preserve">Clinical Characteristics:</w:t>
      </w:r>
    </w:p>
    <w:p>
      <w:pPr>
        <w:numPr>
          <w:ilvl w:val="2"/>
          <w:numId w:val="1016"/>
        </w:numPr>
      </w:pPr>
      <w:r>
        <w:t xml:space="preserve">Number of comorbidities</w:t>
      </w:r>
    </w:p>
    <w:p>
      <w:pPr>
        <w:numPr>
          <w:ilvl w:val="2"/>
          <w:numId w:val="1016"/>
        </w:numPr>
      </w:pPr>
      <w:r>
        <w:t xml:space="preserve">Elixhauser comorbidity index</w:t>
      </w:r>
    </w:p>
    <w:p>
      <w:pPr>
        <w:numPr>
          <w:ilvl w:val="1"/>
          <w:numId w:val="1014"/>
        </w:numPr>
      </w:pPr>
      <w:r>
        <w:t xml:space="preserve">Hospital Characteristics:</w:t>
      </w:r>
    </w:p>
    <w:p>
      <w:pPr>
        <w:numPr>
          <w:ilvl w:val="2"/>
          <w:numId w:val="1017"/>
        </w:numPr>
      </w:pPr>
      <w:r>
        <w:t xml:space="preserve">Hospital bed size (Small, Medium, Large)</w:t>
      </w:r>
    </w:p>
    <w:p>
      <w:pPr>
        <w:numPr>
          <w:ilvl w:val="2"/>
          <w:numId w:val="1017"/>
        </w:numPr>
      </w:pPr>
      <w:r>
        <w:t xml:space="preserve">Patient’s residence</w:t>
      </w:r>
    </w:p>
    <w:p>
      <w:pPr>
        <w:numPr>
          <w:ilvl w:val="2"/>
          <w:numId w:val="1017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4"/>
        </w:numPr>
      </w:pPr>
      <w:r>
        <w:t xml:space="preserve">Disposition and Severity:</w:t>
      </w:r>
    </w:p>
    <w:p>
      <w:pPr>
        <w:numPr>
          <w:ilvl w:val="2"/>
          <w:numId w:val="1018"/>
        </w:numPr>
      </w:pPr>
      <w:r>
        <w:t xml:space="preserve">Discharge disposition</w:t>
      </w:r>
    </w:p>
    <w:p>
      <w:pPr>
        <w:numPr>
          <w:ilvl w:val="2"/>
          <w:numId w:val="1018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9"/>
        </w:numPr>
      </w:pPr>
      <w:r>
        <w:t xml:space="preserve">Survey Design and Weighting:</w:t>
      </w:r>
    </w:p>
    <w:p>
      <w:pPr>
        <w:pStyle w:val="Compact"/>
        <w:numPr>
          <w:ilvl w:val="2"/>
          <w:numId w:val="1020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9"/>
        </w:numPr>
      </w:pPr>
      <w:r>
        <w:t xml:space="preserve">Descriptive Analyses:</w:t>
      </w:r>
    </w:p>
    <w:p>
      <w:pPr>
        <w:numPr>
          <w:ilvl w:val="2"/>
          <w:numId w:val="1021"/>
        </w:numPr>
      </w:pPr>
      <w:r>
        <w:t xml:space="preserve">Summary of baseline characteristics and index admission outcomes across SES quartiles</w:t>
      </w:r>
    </w:p>
    <w:p>
      <w:pPr>
        <w:numPr>
          <w:ilvl w:val="2"/>
          <w:numId w:val="1021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9"/>
        </w:numPr>
      </w:pPr>
      <w:r>
        <w:t xml:space="preserve">Multivariable Regression:</w:t>
      </w:r>
    </w:p>
    <w:p>
      <w:pPr>
        <w:numPr>
          <w:ilvl w:val="2"/>
          <w:numId w:val="1022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2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2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9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numPr>
          <w:ilvl w:val="2"/>
          <w:numId w:val="1023"/>
        </w:numPr>
      </w:pPr>
      <w:r>
        <w:t xml:space="preserve">Time to readmission</w:t>
      </w:r>
    </w:p>
    <w:p>
      <w:pPr>
        <w:numPr>
          <w:ilvl w:val="2"/>
          <w:numId w:val="1023"/>
        </w:numPr>
      </w:pPr>
      <w:r>
        <w:t xml:space="preserve">Length of stay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31,712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31,120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592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18,324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18,118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3,751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19,395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19,055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12,317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12,065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12,802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12,511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7,723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7,603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6,327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4,535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4,474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12,019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11,744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8,457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8,296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5,904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2,435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2,404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1,617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1,231 (4.0%)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AWEEKEND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22,872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22,422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8,840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3,899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3,842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20,064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19,666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7,748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7,612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3,251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3,214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26,962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26,414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1,499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1,493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21,866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21,447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419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1,436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8,354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8,215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31,463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30,896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LOS_CAT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≤4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29,916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29,448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31,712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31,120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592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2.00)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 (1.00, 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12,361 (7,655, 20,333)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12,302 (7,621, 20,080)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16,800 (9,813, 35,690)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3"/>
    <w:bookmarkEnd w:id="24"/>
    <w:bookmarkStart w:id="25" w:name="day-readmission-timing-unadjusted"/>
    <w:p>
      <w:pPr>
        <w:pStyle w:val="Heading2"/>
      </w:pPr>
      <w:r>
        <w:t xml:space="preserve">30-Day Readmission Timing (Unadjusted)</w:t>
      </w:r>
    </w:p>
    <w:p>
      <w:pPr>
        <w:pStyle w:val="FirstParagraph"/>
      </w:pPr>
      <w:r>
        <w:t xml:space="preserve">The median time to 30-day readmission following index hospitalization was 15 days (IQR: 9–23).</w:t>
      </w:r>
    </w:p>
    <w:bookmarkEnd w:id="25"/>
    <w:bookmarkStart w:id="27" w:name="X7d0a1c2a05e84965e19936ca624ae03f9f9afcd"/>
    <w:p>
      <w:pPr>
        <w:pStyle w:val="Heading2"/>
      </w:pPr>
      <w:r>
        <w:t xml:space="preserve">Readmission Hospitalization Characteristics</w:t>
      </w:r>
    </w:p>
    <w:bookmarkStart w:id="26" w:name="resource-utilization-during-readmission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4"/>
        </w:numPr>
      </w:pPr>
      <w:r>
        <w:t xml:space="preserve">Median Length of Stay (IQR), days: 2 (IQR: 1–3)</w:t>
      </w:r>
    </w:p>
    <w:p>
      <w:pPr>
        <w:numPr>
          <w:ilvl w:val="0"/>
          <w:numId w:val="1024"/>
        </w:numPr>
      </w:pPr>
      <w:r>
        <w:t xml:space="preserve">Median Total Charges (IQR): $13,326 (IQR: $9,079–$21,228)</w:t>
      </w:r>
    </w:p>
    <w:bookmarkEnd w:id="26"/>
    <w:bookmarkEnd w:id="27"/>
    <w:bookmarkStart w:id="29" w:name="multivariable-analyses"/>
    <w:p>
      <w:pPr>
        <w:pStyle w:val="Heading2"/>
      </w:pPr>
      <w:r>
        <w:t xml:space="preserve">Multivariable Analyses</w:t>
      </w:r>
    </w:p>
    <w:bookmarkStart w:id="28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1.37, 4.59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0–6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13–18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7–12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Central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Fringe metro ≥1 million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250,000-999,999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 50,000-249,999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0.41, 2.86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AWEEKEND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0.75, 6.12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1.78, 11.8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≤4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mdpi.com/2227-9067/11/8/10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dpi.com/2227-9067/11/8/10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Obstructive Sleep Apnea on 30-Day Readmissions Among Pediatric Patients Hospitalized for Asthma: An Analysis of the National Readmission Database</dc:title>
  <dc:creator>Eliza Aisha; Asad Ali Ahmed Cheema</dc:creator>
  <cp:keywords/>
  <dcterms:created xsi:type="dcterms:W3CDTF">2025-11-11T16:20:59Z</dcterms:created>
  <dcterms:modified xsi:type="dcterms:W3CDTF">2025-11-11T16:20:59Z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A13</vt:lpwstr>
  </property>
  <property fmtid="{D5CDD505-2E9C-101B-9397-08002B2CF9AE}" pid="12" name="toc-title">
    <vt:lpwstr>Table of contents</vt:lpwstr>
  </property>
</Properties>
</file>