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Patient’s residence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 across SES quartiles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31,712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18,324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18,118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19,395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19,055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12,317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12,065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12,802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12,511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7,723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7,603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6,327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12,019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8,457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8,296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5,904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2,404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1,617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AWEEKEND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22,872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22,422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8,840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20,064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19,666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7,748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7,612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26,962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26,414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1,499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21,866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21,447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8,354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31,463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30,896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LOS_CAT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≤4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29,916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29,448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31,712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12,361 (7,655, 20,333)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12,302 (7,621, 20,080)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16,800 (9,813, 35,690)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15 days (IQR: 9–23).</w:t>
      </w:r>
    </w:p>
    <w:bookmarkEnd w:id="25"/>
    <w:bookmarkStart w:id="29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0</w:t>
      </w:r>
    </w:p>
    <w:p>
      <w:pPr>
        <w:numPr>
          <w:ilvl w:val="0"/>
          <w:numId w:val="1023"/>
        </w:numPr>
      </w:pPr>
      <w:r>
        <w:t xml:space="preserve">Death Rate (%): 0%</w:t>
      </w:r>
    </w:p>
    <w:p>
      <w:pPr>
        <w:numPr>
          <w:ilvl w:val="0"/>
          <w:numId w:val="1023"/>
        </w:numPr>
      </w:pPr>
      <w:r>
        <w:t xml:space="preserve">Death Rate (95% CI): 0% to 0%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bookmarkEnd w:id="27"/>
    <w:bookmarkStart w:id="28" w:name="X14c6c8cc3e91887ce2c4af3c3a16cdb67042bfc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$13,326 (IQR: $9,079–$21,228)</w:t>
      </w:r>
    </w:p>
    <w:bookmarkEnd w:id="28"/>
    <w:bookmarkEnd w:id="29"/>
    <w:bookmarkStart w:id="31" w:name="multivariable-analyses"/>
    <w:p>
      <w:pPr>
        <w:pStyle w:val="Heading2"/>
      </w:pPr>
      <w:r>
        <w:t xml:space="preserve">Multivariable Analyses</w:t>
      </w:r>
    </w:p>
    <w:bookmarkStart w:id="30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1.37, 4.59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AWEEKEND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1.78, 11.8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≤4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2025-11-11T16:59:28Z</dcterms:created>
  <dcterms:modified xsi:type="dcterms:W3CDTF">2025-11-11T16:59:28Z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