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Thirty-Day Unplanned Readmissions After Index Hospitalization for Liver Cirrhosis with vs without Acute Renal Failure (NRD 2016–2017)</w:t>
      </w:r>
    </w:p>
    <w:p>
      <w:pPr>
        <w:pStyle w:val="Subtitle"/>
      </w:pPr>
      <w:r>
        <w:t xml:space="preserve">RCOP NRD B12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Asad Ali Ahmed Cheema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Kruger et al., 2019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evaluate the impact of acute renal failure on 30-day all-cause readmission among patients hospitalized with liver cirrhosis. Secondary objectives included assessing time to readmission, resource utilization, and identifying predictors of readmission within this population using a nationally representative dataset.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This retrospective cohort study used data from the 2016–2017 Nationwide Readmissions Database (NRD), developed by the Healthcare Cost and Utilization Project (HCUP). The NRD is a nationally representative, all-payer database of U.S. hospitalizations that allows linkage of patients across hospital stays within a calendar year. Survey weights, stratification, and clustering variables support complex sampling design for national estimates.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Patients were eligible for inclusion if they met all of the following criteria:</w:t>
      </w:r>
    </w:p>
    <w:p>
      <w:pPr>
        <w:numPr>
          <w:ilvl w:val="1"/>
          <w:numId w:val="1003"/>
        </w:numPr>
      </w:pPr>
      <w:r>
        <w:t xml:space="preserve">Patients aged 18 years or above</w:t>
      </w:r>
    </w:p>
    <w:p>
      <w:pPr>
        <w:numPr>
          <w:ilvl w:val="1"/>
          <w:numId w:val="1003"/>
        </w:numPr>
      </w:pPr>
      <w:r>
        <w:t xml:space="preserve">Principal diagnosis of liver cirrhosis based on specific ICD-10-CM codes `K74.3, K74.4, K74.5, K74.6, K70.3’</w:t>
      </w:r>
    </w:p>
    <w:p>
      <w:pPr>
        <w:numPr>
          <w:ilvl w:val="1"/>
          <w:numId w:val="1003"/>
        </w:numPr>
      </w:pPr>
      <w:r>
        <w:t xml:space="preserve">Information for acute renal failure not missing (ICD 10: N17)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Outcome:</w:t>
      </w:r>
    </w:p>
    <w:p>
      <w:pPr>
        <w:pStyle w:val="Compact"/>
        <w:numPr>
          <w:ilvl w:val="2"/>
          <w:numId w:val="1005"/>
        </w:numPr>
      </w:pPr>
      <w:r>
        <w:t xml:space="preserve">30-day all-cause readmission (Yes/No), flagged using NRD linkage variables</w:t>
      </w:r>
    </w:p>
    <w:p>
      <w:pPr>
        <w:numPr>
          <w:ilvl w:val="1"/>
          <w:numId w:val="1004"/>
        </w:numPr>
      </w:pPr>
      <w:r>
        <w:t xml:space="preserve">Secondary Outcomes (index admission):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(TOTCHG), inflation-adjusted to 2017 USD</w:t>
      </w:r>
    </w:p>
    <w:p>
      <w:pPr>
        <w:numPr>
          <w:ilvl w:val="2"/>
          <w:numId w:val="1006"/>
        </w:numPr>
      </w:pPr>
      <w:r>
        <w:t xml:space="preserve">Non-home discharge</w:t>
      </w:r>
    </w:p>
    <w:p>
      <w:pPr>
        <w:numPr>
          <w:ilvl w:val="1"/>
          <w:numId w:val="1004"/>
        </w:numPr>
      </w:pPr>
      <w:r>
        <w:t xml:space="preserve">Readmission Characteristics:</w:t>
      </w:r>
    </w:p>
    <w:p>
      <w:pPr>
        <w:numPr>
          <w:ilvl w:val="2"/>
          <w:numId w:val="1007"/>
        </w:numPr>
      </w:pPr>
      <w:r>
        <w:t xml:space="preserve">In-hospital mortality (binary)</w:t>
      </w:r>
    </w:p>
    <w:p>
      <w:pPr>
        <w:numPr>
          <w:ilvl w:val="2"/>
          <w:numId w:val="1007"/>
        </w:numPr>
      </w:pPr>
      <w:r>
        <w:t xml:space="preserve">Length of stay (LOS, in days)</w:t>
      </w:r>
    </w:p>
    <w:p>
      <w:pPr>
        <w:numPr>
          <w:ilvl w:val="2"/>
          <w:numId w:val="1007"/>
        </w:numPr>
      </w:pPr>
      <w:r>
        <w:t xml:space="preserve">Total hospitalization charges (inflation-adjusted to 2017 USD)</w:t>
      </w:r>
    </w:p>
    <w:p>
      <w:pPr>
        <w:numPr>
          <w:ilvl w:val="2"/>
          <w:numId w:val="1007"/>
        </w:numPr>
      </w:pPr>
      <w:r>
        <w:t xml:space="preserve">Time to readmission (in days)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8"/>
        </w:numPr>
      </w:pPr>
      <w:r>
        <w:t xml:space="preserve">Readmission:</w:t>
      </w:r>
    </w:p>
    <w:p>
      <w:pPr>
        <w:numPr>
          <w:ilvl w:val="2"/>
          <w:numId w:val="1009"/>
        </w:numPr>
      </w:pPr>
      <w:r>
        <w:t xml:space="preserve">Defined using HCUP NRD’s methodology. Readmissions were identified only among patients with qualifying index events.</w:t>
      </w:r>
    </w:p>
    <w:p>
      <w:pPr>
        <w:numPr>
          <w:ilvl w:val="2"/>
          <w:numId w:val="1009"/>
        </w:numPr>
      </w:pPr>
      <w:r>
        <w:t xml:space="preserve">Trauma-related hospitalizations were excluded only from the readmission pool to avoid injury-related returns.</w:t>
      </w:r>
    </w:p>
    <w:p>
      <w:pPr>
        <w:numPr>
          <w:ilvl w:val="2"/>
          <w:numId w:val="1009"/>
        </w:numPr>
      </w:pPr>
      <w:r>
        <w:t xml:space="preserve">Elective readmissions were excluded</w:t>
      </w:r>
    </w:p>
    <w:p>
      <w:pPr>
        <w:numPr>
          <w:ilvl w:val="1"/>
          <w:numId w:val="1008"/>
        </w:numPr>
      </w:pPr>
      <w:r>
        <w:t xml:space="preserve">Mortality:</w:t>
      </w:r>
    </w:p>
    <w:p>
      <w:pPr>
        <w:pStyle w:val="Compact"/>
        <w:numPr>
          <w:ilvl w:val="2"/>
          <w:numId w:val="1010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08"/>
        </w:numPr>
      </w:pPr>
      <w:r>
        <w:t xml:space="preserve">LOS:</w:t>
      </w:r>
    </w:p>
    <w:p>
      <w:pPr>
        <w:pStyle w:val="Compact"/>
        <w:numPr>
          <w:ilvl w:val="2"/>
          <w:numId w:val="1011"/>
        </w:numPr>
      </w:pPr>
      <w:r>
        <w:t xml:space="preserve">Reported in days; modeled as count outcome</w:t>
      </w:r>
    </w:p>
    <w:p>
      <w:pPr>
        <w:numPr>
          <w:ilvl w:val="1"/>
          <w:numId w:val="1008"/>
        </w:numPr>
      </w:pPr>
      <w:r>
        <w:t xml:space="preserve">Charge:</w:t>
      </w:r>
    </w:p>
    <w:p>
      <w:pPr>
        <w:pStyle w:val="Compact"/>
        <w:numPr>
          <w:ilvl w:val="2"/>
          <w:numId w:val="1012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3"/>
        </w:numPr>
      </w:pPr>
      <w:r>
        <w:t xml:space="preserve">Demographic &amp; Socioeconomic Factors:</w:t>
      </w:r>
    </w:p>
    <w:p>
      <w:pPr>
        <w:numPr>
          <w:ilvl w:val="2"/>
          <w:numId w:val="1014"/>
        </w:numPr>
      </w:pPr>
      <w:r>
        <w:t xml:space="preserve">Age</w:t>
      </w:r>
    </w:p>
    <w:p>
      <w:pPr>
        <w:numPr>
          <w:ilvl w:val="2"/>
          <w:numId w:val="1014"/>
        </w:numPr>
      </w:pPr>
      <w:r>
        <w:t xml:space="preserve">Sex</w:t>
      </w:r>
    </w:p>
    <w:p>
      <w:pPr>
        <w:numPr>
          <w:ilvl w:val="2"/>
          <w:numId w:val="1014"/>
        </w:numPr>
      </w:pPr>
      <w:r>
        <w:t xml:space="preserve">Patient’s residence</w:t>
      </w:r>
    </w:p>
    <w:p>
      <w:pPr>
        <w:numPr>
          <w:ilvl w:val="2"/>
          <w:numId w:val="1014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4"/>
        </w:numPr>
      </w:pPr>
      <w:r>
        <w:t xml:space="preserve">ZIP-based median income quartile</w:t>
      </w:r>
    </w:p>
    <w:p>
      <w:pPr>
        <w:numPr>
          <w:ilvl w:val="1"/>
          <w:numId w:val="1013"/>
        </w:numPr>
      </w:pPr>
      <w:r>
        <w:t xml:space="preserve">Clinical Characteristics:</w:t>
      </w:r>
    </w:p>
    <w:p>
      <w:pPr>
        <w:numPr>
          <w:ilvl w:val="2"/>
          <w:numId w:val="1015"/>
        </w:numPr>
      </w:pPr>
      <w:r>
        <w:t xml:space="preserve">Hypertension</w:t>
      </w:r>
    </w:p>
    <w:p>
      <w:pPr>
        <w:numPr>
          <w:ilvl w:val="2"/>
          <w:numId w:val="1015"/>
        </w:numPr>
      </w:pPr>
      <w:r>
        <w:t xml:space="preserve">Diabetes</w:t>
      </w:r>
    </w:p>
    <w:p>
      <w:pPr>
        <w:numPr>
          <w:ilvl w:val="2"/>
          <w:numId w:val="1015"/>
        </w:numPr>
      </w:pPr>
      <w:r>
        <w:t xml:space="preserve">Chronic Kidney Disease</w:t>
      </w:r>
    </w:p>
    <w:p>
      <w:pPr>
        <w:numPr>
          <w:ilvl w:val="2"/>
          <w:numId w:val="1015"/>
        </w:numPr>
      </w:pPr>
      <w:r>
        <w:t xml:space="preserve">Congestive Heart Failure</w:t>
      </w:r>
    </w:p>
    <w:p>
      <w:pPr>
        <w:numPr>
          <w:ilvl w:val="2"/>
          <w:numId w:val="1015"/>
        </w:numPr>
      </w:pPr>
      <w:r>
        <w:t xml:space="preserve">Anemia</w:t>
      </w:r>
    </w:p>
    <w:p>
      <w:pPr>
        <w:numPr>
          <w:ilvl w:val="2"/>
          <w:numId w:val="1015"/>
        </w:numPr>
      </w:pPr>
      <w:r>
        <w:t xml:space="preserve">Coagulopathy</w:t>
      </w:r>
    </w:p>
    <w:p>
      <w:pPr>
        <w:numPr>
          <w:ilvl w:val="2"/>
          <w:numId w:val="1015"/>
        </w:numPr>
      </w:pPr>
      <w:r>
        <w:t xml:space="preserve">Chronic Pulmonary Disease</w:t>
      </w:r>
    </w:p>
    <w:p>
      <w:pPr>
        <w:numPr>
          <w:ilvl w:val="2"/>
          <w:numId w:val="1015"/>
        </w:numPr>
      </w:pPr>
      <w:r>
        <w:t xml:space="preserve">Alcohol Abuse</w:t>
      </w:r>
    </w:p>
    <w:p>
      <w:pPr>
        <w:numPr>
          <w:ilvl w:val="2"/>
          <w:numId w:val="1015"/>
        </w:numPr>
      </w:pPr>
      <w:r>
        <w:t xml:space="preserve">Drug Abuse</w:t>
      </w:r>
    </w:p>
    <w:p>
      <w:pPr>
        <w:numPr>
          <w:ilvl w:val="2"/>
          <w:numId w:val="1015"/>
        </w:numPr>
      </w:pPr>
      <w:r>
        <w:t xml:space="preserve">Depression</w:t>
      </w:r>
    </w:p>
    <w:p>
      <w:pPr>
        <w:numPr>
          <w:ilvl w:val="2"/>
          <w:numId w:val="1015"/>
        </w:numPr>
      </w:pPr>
      <w:r>
        <w:t xml:space="preserve">Obesity</w:t>
      </w:r>
    </w:p>
    <w:p>
      <w:pPr>
        <w:numPr>
          <w:ilvl w:val="2"/>
          <w:numId w:val="1015"/>
        </w:numPr>
      </w:pPr>
      <w:r>
        <w:t xml:space="preserve">Fluid and Electrolyte Disorders</w:t>
      </w:r>
    </w:p>
    <w:p>
      <w:pPr>
        <w:numPr>
          <w:ilvl w:val="2"/>
          <w:numId w:val="1015"/>
        </w:numPr>
      </w:pPr>
      <w:r>
        <w:t xml:space="preserve">Esophageal Varices</w:t>
      </w:r>
    </w:p>
    <w:p>
      <w:pPr>
        <w:numPr>
          <w:ilvl w:val="2"/>
          <w:numId w:val="1015"/>
        </w:numPr>
      </w:pPr>
      <w:r>
        <w:t xml:space="preserve">Portal Hypertension</w:t>
      </w:r>
    </w:p>
    <w:p>
      <w:pPr>
        <w:numPr>
          <w:ilvl w:val="2"/>
          <w:numId w:val="1015"/>
        </w:numPr>
      </w:pPr>
      <w:r>
        <w:t xml:space="preserve">Hepatorenal Syndrome</w:t>
      </w:r>
    </w:p>
    <w:p>
      <w:pPr>
        <w:numPr>
          <w:ilvl w:val="2"/>
          <w:numId w:val="1015"/>
        </w:numPr>
      </w:pPr>
      <w:r>
        <w:t xml:space="preserve">Sepsis</w:t>
      </w:r>
    </w:p>
    <w:p>
      <w:pPr>
        <w:numPr>
          <w:ilvl w:val="1"/>
          <w:numId w:val="1013"/>
        </w:numPr>
      </w:pPr>
      <w:r>
        <w:t xml:space="preserve">Hospital Characteristics:</w:t>
      </w:r>
    </w:p>
    <w:p>
      <w:pPr>
        <w:numPr>
          <w:ilvl w:val="2"/>
          <w:numId w:val="1016"/>
        </w:numPr>
      </w:pPr>
      <w:r>
        <w:t xml:space="preserve">Weekend admission</w:t>
      </w:r>
    </w:p>
    <w:p>
      <w:pPr>
        <w:numPr>
          <w:ilvl w:val="2"/>
          <w:numId w:val="1016"/>
        </w:numPr>
      </w:pPr>
      <w:r>
        <w:t xml:space="preserve">Hospital bed size (Small, Medium, Large)</w:t>
      </w:r>
    </w:p>
    <w:p>
      <w:pPr>
        <w:numPr>
          <w:ilvl w:val="2"/>
          <w:numId w:val="1016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3"/>
        </w:numPr>
      </w:pPr>
      <w:r>
        <w:t xml:space="preserve">Disposition and Severity:</w:t>
      </w:r>
    </w:p>
    <w:p>
      <w:pPr>
        <w:numPr>
          <w:ilvl w:val="2"/>
          <w:numId w:val="1017"/>
        </w:numPr>
      </w:pPr>
      <w:r>
        <w:t xml:space="preserve">Discharge disposition</w:t>
      </w:r>
    </w:p>
    <w:p>
      <w:pPr>
        <w:numPr>
          <w:ilvl w:val="2"/>
          <w:numId w:val="1017"/>
        </w:numPr>
      </w:pPr>
      <w:r>
        <w:t xml:space="preserve">Length of stay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8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9"/>
        </w:numPr>
      </w:pPr>
      <w:r>
        <w:t xml:space="preserve">All analyses accounted for NRD’s complex survey design using weights (DISCWT), strata (NRD_STRATUM), and clustering (HOSP_NRD). Survey-adjusted methods were implemented via survey and srvyr packages.</w:t>
      </w:r>
    </w:p>
    <w:p>
      <w:pPr>
        <w:numPr>
          <w:ilvl w:val="1"/>
          <w:numId w:val="1018"/>
        </w:numPr>
      </w:pPr>
      <w:r>
        <w:t xml:space="preserve">Descriptive Analyses:</w:t>
      </w:r>
    </w:p>
    <w:p>
      <w:pPr>
        <w:numPr>
          <w:ilvl w:val="2"/>
          <w:numId w:val="1020"/>
        </w:numPr>
      </w:pPr>
      <w:r>
        <w:t xml:space="preserve">Summary of baseline characteristics and index admission outcomes</w:t>
      </w:r>
    </w:p>
    <w:p>
      <w:pPr>
        <w:numPr>
          <w:ilvl w:val="2"/>
          <w:numId w:val="1020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18"/>
        </w:numPr>
      </w:pPr>
      <w:r>
        <w:t xml:space="preserve">Multivariable Regression:</w:t>
      </w:r>
    </w:p>
    <w:p>
      <w:pPr>
        <w:numPr>
          <w:ilvl w:val="2"/>
          <w:numId w:val="1021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1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1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18"/>
        </w:numPr>
      </w:pPr>
      <w:r>
        <w:t xml:space="preserve">Readmission Characteristics:</w:t>
      </w:r>
    </w:p>
    <w:p>
      <w:pPr>
        <w:numPr>
          <w:ilvl w:val="1"/>
          <w:numId w:val="1000"/>
        </w:numPr>
      </w:pPr>
      <w:r>
        <w:t xml:space="preserve">Among readmitted patients, the following were summarized using survey-weighted statistics:</w:t>
      </w:r>
    </w:p>
    <w:p>
      <w:pPr>
        <w:numPr>
          <w:ilvl w:val="2"/>
          <w:numId w:val="1022"/>
        </w:numPr>
      </w:pPr>
      <w:r>
        <w:t xml:space="preserve">Time to readmission</w:t>
      </w:r>
    </w:p>
    <w:p>
      <w:pPr>
        <w:numPr>
          <w:ilvl w:val="2"/>
          <w:numId w:val="1022"/>
        </w:numPr>
      </w:pPr>
      <w:r>
        <w:t xml:space="preserve">Length of stay and total charges during the readmission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168,816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Acute Renal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125,679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Acute Renal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43,137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(50, 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(49, 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(52,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106,384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78,916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27,468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62,432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46,763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15,669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58,086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43,910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14,175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45,910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34,359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11,552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37,432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9,918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24,641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17,719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6,922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130,555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96,852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33,703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38,262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28,828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9,434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8,311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6,440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160,200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119,033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41,167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17,196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102,532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74,686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27,846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44,172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33,798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10,374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40,601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32,035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8,567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119,119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86,186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32,933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9,095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7,458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51,445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39,857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61,826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44,027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17,799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18,323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14,750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3,573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36,826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26,782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10,043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54,219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20,857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39,154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28,964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10,190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30,305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16,578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79,518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55,996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23,522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107,111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76,291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30,820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30,419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22,697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7,722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20,047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12,984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7,063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116,064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86,985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29,079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13,650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10,842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23,672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17,706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5,966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19,661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13,873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91,062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58,840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32,222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127,994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91,911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36,082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Esophageal Varices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64,661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48,505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16,156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Portal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78,617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57,226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21,391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Hepatorenal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11,755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1,979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9,776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5,590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3,834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168,816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Acute Renal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125,679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Acute Renal Failure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43,137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41,554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30,351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11,203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36,976 (21,200, 68,374)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32,587 (19,314, 56,247)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58,507 (30,886, 124,647)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34,832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20,108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14,723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End w:id="24"/>
    <w:bookmarkStart w:id="25" w:name="day-readmission-timing-unadjusted"/>
    <w:p>
      <w:pPr>
        <w:pStyle w:val="Heading2"/>
      </w:pPr>
      <w:r>
        <w:t xml:space="preserve">30-Day Readmission Timing (Unadjusted)</w:t>
      </w:r>
    </w:p>
    <w:p>
      <w:pPr>
        <w:pStyle w:val="FirstParagraph"/>
      </w:pPr>
      <w:r>
        <w:t xml:space="preserve">The median time to 30-day readmission following index hospitalization was 12 days (IQR: 6–19).</w:t>
      </w:r>
    </w:p>
    <w:bookmarkEnd w:id="25"/>
    <w:bookmarkStart w:id="28" w:name="X7d0a1c2a05e84965e19936ca624ae03f9f9afcd"/>
    <w:p>
      <w:pPr>
        <w:pStyle w:val="Heading2"/>
      </w:pPr>
      <w:r>
        <w:t xml:space="preserve">Readmission Hospitalization Characteristics</w:t>
      </w:r>
    </w:p>
    <w:bookmarkStart w:id="26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3"/>
        </w:numPr>
      </w:pPr>
      <w:r>
        <w:t xml:space="preserve">Deaths (n): 3209</w:t>
      </w:r>
    </w:p>
    <w:p>
      <w:pPr>
        <w:numPr>
          <w:ilvl w:val="0"/>
          <w:numId w:val="1023"/>
        </w:numPr>
      </w:pPr>
      <w:r>
        <w:t xml:space="preserve">Death Rate (%): 7.72%</w:t>
      </w:r>
    </w:p>
    <w:p>
      <w:pPr>
        <w:numPr>
          <w:ilvl w:val="0"/>
          <w:numId w:val="1023"/>
        </w:numPr>
      </w:pPr>
      <w:r>
        <w:t xml:space="preserve">Death Rate (95% CI): 7.33% to 8.11%</w:t>
      </w:r>
    </w:p>
    <w:bookmarkEnd w:id="26"/>
    <w:bookmarkStart w:id="27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4"/>
        </w:numPr>
      </w:pPr>
      <w:r>
        <w:t xml:space="preserve">Median Length of Stay (IQR), days: 4 (IQR: 2–7)</w:t>
      </w:r>
    </w:p>
    <w:p>
      <w:pPr>
        <w:numPr>
          <w:ilvl w:val="0"/>
          <w:numId w:val="1024"/>
        </w:numPr>
      </w:pPr>
      <w:r>
        <w:t xml:space="preserve">Median Total Charges (IQR): $34,033 (IQR: $19,048–$65,570)</w:t>
      </w:r>
    </w:p>
    <w:bookmarkEnd w:id="27"/>
    <w:bookmarkEnd w:id="28"/>
    <w:bookmarkStart w:id="30" w:name="multivariable-analyses"/>
    <w:p>
      <w:pPr>
        <w:pStyle w:val="Heading2"/>
      </w:pPr>
      <w:r>
        <w:t xml:space="preserve">Multivariable Analyses</w:t>
      </w:r>
    </w:p>
    <w:bookmarkStart w:id="29" w:name="Xc3dd9450622ca6a79fdfe146281f7a6f8e6031c"/>
    <w:p>
      <w:pPr>
        <w:pStyle w:val="Heading3"/>
      </w:pPr>
      <w:r>
        <w:t xml:space="preserve">Multivariable Predictors of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Renal Failure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Acute 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Acute 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Esophageal Varices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Portal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Hepatorenal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elsevier.es/en-revista-annals-hepatology-16-articulo-a-validated-risk-model-for-S1665268119300079?utm_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elsevier.es/en-revista-annals-hepatology-16-articulo-a-validated-risk-model-for-S1665268119300079?utm_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Thirty-Day Unplanned Readmissions After Index Hospitalization for Liver Cirrhosis with vs without Acute Renal Failure (NRD 2016–2017)</dc:title>
  <dc:creator>Eliza Aisha; Asad Ali Ahmed Cheema</dc:creator>
  <cp:keywords/>
  <dcterms:created xsi:type="dcterms:W3CDTF">2025-12-04T22:52:16Z</dcterms:created>
  <dcterms:modified xsi:type="dcterms:W3CDTF">2025-12-04T22:52:16Z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B12</vt:lpwstr>
  </property>
  <property fmtid="{D5CDD505-2E9C-101B-9397-08002B2CF9AE}" pid="12" name="toc-title">
    <vt:lpwstr>Table of contents</vt:lpwstr>
  </property>
</Properties>
</file>