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Obesity Paradox and 30-Day Readmissions After Transcatheter Aortic Valve Replacement: Insights from the Nationwide Readmissions Database (2016–2017)</w:t>
      </w:r>
    </w:p>
    <w:p>
      <w:pPr>
        <w:pStyle w:val="Subtitle"/>
      </w:pPr>
      <w:r>
        <w:t xml:space="preserve">RCOP NRD B9</w:t>
      </w:r>
    </w:p>
    <w:p>
      <w:pPr>
        <w:pStyle w:val="Author"/>
      </w:pPr>
      <w:r>
        <w:t xml:space="preserve">Eliza Aisha</w:t>
      </w:r>
    </w:p>
    <w:p>
      <w:pPr>
        <w:pStyle w:val="Author"/>
      </w:pPr>
      <w:r>
        <w:t xml:space="preserve">Asad Ali Ahmed Cheema</w:t>
      </w:r>
    </w:p>
    <w:bookmarkStart w:id="21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Studies:</w:t>
      </w:r>
    </w:p>
    <w:p>
      <w:pPr>
        <w:pStyle w:val="Compact"/>
        <w:numPr>
          <w:ilvl w:val="1"/>
          <w:numId w:val="1002"/>
        </w:numPr>
      </w:pPr>
      <w:hyperlink r:id="rId20">
        <w:r>
          <w:rPr>
            <w:rStyle w:val="Hyperlink"/>
          </w:rPr>
          <w:t xml:space="preserve">Ram et al., 2020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Objective:</w:t>
      </w:r>
    </w:p>
    <w:p>
      <w:pPr>
        <w:numPr>
          <w:ilvl w:val="0"/>
          <w:numId w:val="1000"/>
        </w:numPr>
      </w:pPr>
      <w:r>
        <w:t xml:space="preserve">To evaluate the impact of BMI on 30-day all-cause readmission among adult patients hospitalized for TAVR Secondary objectives included assessing resource utilization, and identifying predictors of readmission within this population using a nationally representative dataset.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Source:</w:t>
      </w:r>
    </w:p>
    <w:p>
      <w:pPr>
        <w:numPr>
          <w:ilvl w:val="0"/>
          <w:numId w:val="1000"/>
        </w:numPr>
      </w:pPr>
      <w:r>
        <w:t xml:space="preserve">This retrospective cohort study used data from the 2016–2017 Nationwide Readmissions Database (NRD), developed by the Healthcare Cost and Utilization Project (HCUP). The NRD is a nationally representative, all-payer database of U.S. hospitalizations that allows linkage of patients across hospital stays within a calendar year. Survey weights, stratification, and clustering variables support complex sampling design for national estimates.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Cohort Definition:</w:t>
      </w:r>
    </w:p>
    <w:p>
      <w:pPr>
        <w:numPr>
          <w:ilvl w:val="0"/>
          <w:numId w:val="1000"/>
        </w:numPr>
      </w:pPr>
      <w:r>
        <w:t xml:space="preserve">Patients were eligible for inclusion if they met all of the following criteria:</w:t>
      </w:r>
    </w:p>
    <w:p>
      <w:pPr>
        <w:numPr>
          <w:ilvl w:val="1"/>
          <w:numId w:val="1003"/>
        </w:numPr>
      </w:pPr>
      <w:r>
        <w:t xml:space="preserve">Patients aged 18 years and above</w:t>
      </w:r>
    </w:p>
    <w:p>
      <w:pPr>
        <w:numPr>
          <w:ilvl w:val="1"/>
          <w:numId w:val="1003"/>
        </w:numPr>
      </w:pPr>
      <w:r>
        <w:t xml:space="preserve">Undergoing TAVR; Identified using ICD codes</w:t>
      </w:r>
      <w:r>
        <w:t xml:space="preserve"> </w:t>
      </w:r>
      <w:r>
        <w:t xml:space="preserve">“02RF3JZ, 02RF38Z, 02RF3KZ, 02RF37Z, 02RF3JH, 02RF38H, 02RF3KH, 02RF37H”</w:t>
      </w:r>
    </w:p>
    <w:p>
      <w:pPr>
        <w:numPr>
          <w:ilvl w:val="1"/>
          <w:numId w:val="1003"/>
        </w:numPr>
      </w:pPr>
      <w:r>
        <w:t xml:space="preserve">Information for BMI not missing</w:t>
      </w:r>
    </w:p>
    <w:p>
      <w:pPr>
        <w:numPr>
          <w:ilvl w:val="1"/>
          <w:numId w:val="1003"/>
        </w:numPr>
      </w:pPr>
      <w:r>
        <w:t xml:space="preserve">Index discharge by the end of November to allow for a complete 30-day follow-up period</w:t>
      </w:r>
    </w:p>
    <w:p>
      <w:pPr>
        <w:numPr>
          <w:ilvl w:val="1"/>
          <w:numId w:val="1003"/>
        </w:numPr>
      </w:pPr>
      <w:r>
        <w:t xml:space="preserve">Complete data on LOS and NRD_DAYSTOEVENT, required to compute discharge dates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Outcomes of Interest:</w:t>
      </w:r>
    </w:p>
    <w:p>
      <w:pPr>
        <w:numPr>
          <w:ilvl w:val="1"/>
          <w:numId w:val="1004"/>
        </w:numPr>
      </w:pPr>
      <w:r>
        <w:t xml:space="preserve">Primary Outcome:</w:t>
      </w:r>
    </w:p>
    <w:p>
      <w:pPr>
        <w:pStyle w:val="Compact"/>
        <w:numPr>
          <w:ilvl w:val="2"/>
          <w:numId w:val="1005"/>
        </w:numPr>
      </w:pPr>
      <w:r>
        <w:t xml:space="preserve">30-day all-cause readmission (Yes/No), flagged using NRD linkage variables</w:t>
      </w:r>
    </w:p>
    <w:p>
      <w:pPr>
        <w:numPr>
          <w:ilvl w:val="1"/>
          <w:numId w:val="1004"/>
        </w:numPr>
      </w:pPr>
      <w:r>
        <w:t xml:space="preserve">Secondary Outcomes (index admission):</w:t>
      </w:r>
    </w:p>
    <w:p>
      <w:pPr>
        <w:numPr>
          <w:ilvl w:val="2"/>
          <w:numId w:val="1006"/>
        </w:numPr>
      </w:pPr>
      <w:r>
        <w:t xml:space="preserve">In-hospital mortality (binary)</w:t>
      </w:r>
    </w:p>
    <w:p>
      <w:pPr>
        <w:numPr>
          <w:ilvl w:val="2"/>
          <w:numId w:val="1006"/>
        </w:numPr>
      </w:pPr>
      <w:r>
        <w:t xml:space="preserve">Length of stay (LOS, in days)</w:t>
      </w:r>
    </w:p>
    <w:p>
      <w:pPr>
        <w:numPr>
          <w:ilvl w:val="2"/>
          <w:numId w:val="1006"/>
        </w:numPr>
      </w:pPr>
      <w:r>
        <w:t xml:space="preserve">Total hospitalization charges (TOTCHG), inflation-adjusted to 2017 USD</w:t>
      </w:r>
    </w:p>
    <w:p>
      <w:pPr>
        <w:numPr>
          <w:ilvl w:val="2"/>
          <w:numId w:val="1006"/>
        </w:numPr>
      </w:pPr>
      <w:r>
        <w:t xml:space="preserve">Non-home discharge</w:t>
      </w:r>
    </w:p>
    <w:p>
      <w:pPr>
        <w:numPr>
          <w:ilvl w:val="1"/>
          <w:numId w:val="1004"/>
        </w:numPr>
      </w:pPr>
      <w:r>
        <w:t xml:space="preserve">Readmission Characteristics:</w:t>
      </w:r>
    </w:p>
    <w:p>
      <w:pPr>
        <w:numPr>
          <w:ilvl w:val="2"/>
          <w:numId w:val="1007"/>
        </w:numPr>
      </w:pPr>
      <w:r>
        <w:t xml:space="preserve">In-hospital mortality (binary)</w:t>
      </w:r>
    </w:p>
    <w:p>
      <w:pPr>
        <w:numPr>
          <w:ilvl w:val="2"/>
          <w:numId w:val="1007"/>
        </w:numPr>
      </w:pPr>
      <w:r>
        <w:t xml:space="preserve">Length of stay (LOS, in days)</w:t>
      </w:r>
    </w:p>
    <w:p>
      <w:pPr>
        <w:numPr>
          <w:ilvl w:val="2"/>
          <w:numId w:val="1007"/>
        </w:numPr>
      </w:pPr>
      <w:r>
        <w:t xml:space="preserve">Total hospitalization charges (inflation-adjusted to 2017 USD)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 Definitions:</w:t>
      </w:r>
    </w:p>
    <w:p>
      <w:pPr>
        <w:numPr>
          <w:ilvl w:val="1"/>
          <w:numId w:val="1008"/>
        </w:numPr>
      </w:pPr>
      <w:r>
        <w:t xml:space="preserve">Readmission:</w:t>
      </w:r>
    </w:p>
    <w:p>
      <w:pPr>
        <w:numPr>
          <w:ilvl w:val="2"/>
          <w:numId w:val="1009"/>
        </w:numPr>
      </w:pPr>
      <w:r>
        <w:t xml:space="preserve">Defined using HCUP NRD’s methodology. Readmissions were identified only among patients with qualifying index events.</w:t>
      </w:r>
    </w:p>
    <w:p>
      <w:pPr>
        <w:numPr>
          <w:ilvl w:val="2"/>
          <w:numId w:val="1009"/>
        </w:numPr>
      </w:pPr>
      <w:r>
        <w:t xml:space="preserve">Trauma-related hospitalizations were excluded only from the readmission pool to avoid injury-related returns.</w:t>
      </w:r>
    </w:p>
    <w:p>
      <w:pPr>
        <w:numPr>
          <w:ilvl w:val="1"/>
          <w:numId w:val="1008"/>
        </w:numPr>
      </w:pPr>
      <w:r>
        <w:t xml:space="preserve">Mortality:</w:t>
      </w:r>
    </w:p>
    <w:p>
      <w:pPr>
        <w:pStyle w:val="Compact"/>
        <w:numPr>
          <w:ilvl w:val="2"/>
          <w:numId w:val="1010"/>
        </w:numPr>
      </w:pPr>
      <w:r>
        <w:t xml:space="preserve">In-hospital death recorded during index or readmission (DIED = 1)</w:t>
      </w:r>
    </w:p>
    <w:p>
      <w:pPr>
        <w:numPr>
          <w:ilvl w:val="1"/>
          <w:numId w:val="1008"/>
        </w:numPr>
      </w:pPr>
      <w:r>
        <w:t xml:space="preserve">LOS:</w:t>
      </w:r>
    </w:p>
    <w:p>
      <w:pPr>
        <w:pStyle w:val="Compact"/>
        <w:numPr>
          <w:ilvl w:val="2"/>
          <w:numId w:val="1011"/>
        </w:numPr>
      </w:pPr>
      <w:r>
        <w:t xml:space="preserve">Reported in days; modeled as count outcome</w:t>
      </w:r>
    </w:p>
    <w:p>
      <w:pPr>
        <w:numPr>
          <w:ilvl w:val="1"/>
          <w:numId w:val="1008"/>
        </w:numPr>
      </w:pPr>
      <w:r>
        <w:t xml:space="preserve">Charge:</w:t>
      </w:r>
    </w:p>
    <w:p>
      <w:pPr>
        <w:pStyle w:val="Compact"/>
        <w:numPr>
          <w:ilvl w:val="2"/>
          <w:numId w:val="1012"/>
        </w:numPr>
      </w:pPr>
      <w:r>
        <w:t xml:space="preserve">Derived from HCUP’s TOTCHG variable and adjusted to 2017 dollars using Consumer Price Index (CPI) data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Covariates:</w:t>
      </w:r>
    </w:p>
    <w:p>
      <w:pPr>
        <w:numPr>
          <w:ilvl w:val="1"/>
          <w:numId w:val="1013"/>
        </w:numPr>
      </w:pPr>
      <w:r>
        <w:t xml:space="preserve">Demographic &amp; Socioeconomic Factors:</w:t>
      </w:r>
    </w:p>
    <w:p>
      <w:pPr>
        <w:numPr>
          <w:ilvl w:val="2"/>
          <w:numId w:val="1014"/>
        </w:numPr>
      </w:pPr>
      <w:r>
        <w:t xml:space="preserve">Age</w:t>
      </w:r>
    </w:p>
    <w:p>
      <w:pPr>
        <w:numPr>
          <w:ilvl w:val="2"/>
          <w:numId w:val="1014"/>
        </w:numPr>
      </w:pPr>
      <w:r>
        <w:t xml:space="preserve">Sex</w:t>
      </w:r>
    </w:p>
    <w:p>
      <w:pPr>
        <w:numPr>
          <w:ilvl w:val="2"/>
          <w:numId w:val="1014"/>
        </w:numPr>
      </w:pPr>
      <w:r>
        <w:t xml:space="preserve">Primary expected payer (Insurance; Medicare, Medicaid, Private, Other)</w:t>
      </w:r>
    </w:p>
    <w:p>
      <w:pPr>
        <w:numPr>
          <w:ilvl w:val="2"/>
          <w:numId w:val="1014"/>
        </w:numPr>
      </w:pPr>
      <w:r>
        <w:t xml:space="preserve">ZIP-based median income quartile</w:t>
      </w:r>
    </w:p>
    <w:p>
      <w:pPr>
        <w:numPr>
          <w:ilvl w:val="1"/>
          <w:numId w:val="1013"/>
        </w:numPr>
      </w:pPr>
      <w:r>
        <w:t xml:space="preserve">Clinical Characteristics:</w:t>
      </w:r>
    </w:p>
    <w:p>
      <w:pPr>
        <w:pStyle w:val="Compact"/>
        <w:numPr>
          <w:ilvl w:val="2"/>
          <w:numId w:val="1015"/>
        </w:numPr>
      </w:pPr>
      <w:r>
        <w:t xml:space="preserve">Hypertension</w:t>
      </w:r>
    </w:p>
    <w:p>
      <w:pPr>
        <w:pStyle w:val="Compact"/>
        <w:numPr>
          <w:ilvl w:val="2"/>
          <w:numId w:val="1015"/>
        </w:numPr>
      </w:pPr>
      <w:r>
        <w:t xml:space="preserve">Diabetes</w:t>
      </w:r>
    </w:p>
    <w:p>
      <w:pPr>
        <w:pStyle w:val="Compact"/>
        <w:numPr>
          <w:ilvl w:val="2"/>
          <w:numId w:val="1015"/>
        </w:numPr>
      </w:pPr>
      <w:r>
        <w:t xml:space="preserve">Chronic kidney disease</w:t>
      </w:r>
    </w:p>
    <w:p>
      <w:pPr>
        <w:pStyle w:val="Compact"/>
        <w:numPr>
          <w:ilvl w:val="2"/>
          <w:numId w:val="1015"/>
        </w:numPr>
      </w:pPr>
      <w:r>
        <w:t xml:space="preserve">Anemia</w:t>
      </w:r>
    </w:p>
    <w:p>
      <w:pPr>
        <w:pStyle w:val="Compact"/>
        <w:numPr>
          <w:ilvl w:val="2"/>
          <w:numId w:val="1015"/>
        </w:numPr>
      </w:pPr>
      <w:r>
        <w:t xml:space="preserve">Congestive heart failure</w:t>
      </w:r>
    </w:p>
    <w:p>
      <w:pPr>
        <w:pStyle w:val="Compact"/>
        <w:numPr>
          <w:ilvl w:val="2"/>
          <w:numId w:val="1015"/>
        </w:numPr>
      </w:pPr>
      <w:r>
        <w:t xml:space="preserve">Chronic pulmonary disease</w:t>
      </w:r>
    </w:p>
    <w:p>
      <w:pPr>
        <w:pStyle w:val="Compact"/>
        <w:numPr>
          <w:ilvl w:val="2"/>
          <w:numId w:val="1015"/>
        </w:numPr>
      </w:pPr>
      <w:r>
        <w:t xml:space="preserve">Rheumatic disease</w:t>
      </w:r>
    </w:p>
    <w:p>
      <w:pPr>
        <w:pStyle w:val="Compact"/>
        <w:numPr>
          <w:ilvl w:val="2"/>
          <w:numId w:val="1015"/>
        </w:numPr>
      </w:pPr>
      <w:r>
        <w:t xml:space="preserve">Depression</w:t>
      </w:r>
    </w:p>
    <w:p>
      <w:pPr>
        <w:pStyle w:val="Compact"/>
        <w:numPr>
          <w:ilvl w:val="2"/>
          <w:numId w:val="1015"/>
        </w:numPr>
      </w:pPr>
      <w:r>
        <w:t xml:space="preserve">Chronic liver disease</w:t>
      </w:r>
    </w:p>
    <w:p>
      <w:pPr>
        <w:pStyle w:val="Compact"/>
        <w:numPr>
          <w:ilvl w:val="2"/>
          <w:numId w:val="1015"/>
        </w:numPr>
      </w:pPr>
      <w:r>
        <w:t xml:space="preserve">Metastatic cancer</w:t>
      </w:r>
    </w:p>
    <w:p>
      <w:pPr>
        <w:pStyle w:val="Compact"/>
        <w:numPr>
          <w:ilvl w:val="2"/>
          <w:numId w:val="1015"/>
        </w:numPr>
      </w:pPr>
      <w:r>
        <w:t xml:space="preserve">Preipheral vascular disease</w:t>
      </w:r>
    </w:p>
    <w:p>
      <w:pPr>
        <w:pStyle w:val="Compact"/>
        <w:numPr>
          <w:ilvl w:val="2"/>
          <w:numId w:val="1015"/>
        </w:numPr>
      </w:pPr>
      <w:r>
        <w:t xml:space="preserve">Coagulopathy</w:t>
      </w:r>
    </w:p>
    <w:p>
      <w:pPr>
        <w:pStyle w:val="Compact"/>
        <w:numPr>
          <w:ilvl w:val="2"/>
          <w:numId w:val="1015"/>
        </w:numPr>
      </w:pPr>
      <w:r>
        <w:t xml:space="preserve">Atrial fibrillation</w:t>
      </w:r>
    </w:p>
    <w:p>
      <w:pPr>
        <w:pStyle w:val="Compact"/>
        <w:numPr>
          <w:ilvl w:val="2"/>
          <w:numId w:val="1015"/>
        </w:numPr>
      </w:pPr>
      <w:r>
        <w:t xml:space="preserve">Pulmonary circulation disorders</w:t>
      </w:r>
    </w:p>
    <w:p>
      <w:pPr>
        <w:pStyle w:val="Compact"/>
        <w:numPr>
          <w:ilvl w:val="2"/>
          <w:numId w:val="1015"/>
        </w:numPr>
      </w:pPr>
      <w:r>
        <w:t xml:space="preserve">Prior stroke</w:t>
      </w:r>
    </w:p>
    <w:p>
      <w:pPr>
        <w:pStyle w:val="Compact"/>
        <w:numPr>
          <w:ilvl w:val="2"/>
          <w:numId w:val="1015"/>
        </w:numPr>
      </w:pPr>
      <w:r>
        <w:t xml:space="preserve">Prior myocardial infarction</w:t>
      </w:r>
    </w:p>
    <w:p>
      <w:pPr>
        <w:pStyle w:val="Compact"/>
        <w:numPr>
          <w:ilvl w:val="2"/>
          <w:numId w:val="1015"/>
        </w:numPr>
      </w:pPr>
      <w:r>
        <w:t xml:space="preserve">Alcohol abuse</w:t>
      </w:r>
    </w:p>
    <w:p>
      <w:pPr>
        <w:pStyle w:val="Compact"/>
        <w:numPr>
          <w:ilvl w:val="2"/>
          <w:numId w:val="1015"/>
        </w:numPr>
      </w:pPr>
      <w:r>
        <w:t xml:space="preserve">Drug abuse</w:t>
      </w:r>
    </w:p>
    <w:p>
      <w:pPr>
        <w:numPr>
          <w:ilvl w:val="1"/>
          <w:numId w:val="1013"/>
        </w:numPr>
      </w:pPr>
      <w:r>
        <w:t xml:space="preserve">Hospital Characteristics:</w:t>
      </w:r>
    </w:p>
    <w:p>
      <w:pPr>
        <w:numPr>
          <w:ilvl w:val="2"/>
          <w:numId w:val="1016"/>
        </w:numPr>
      </w:pPr>
      <w:r>
        <w:t xml:space="preserve">Weekend admission</w:t>
      </w:r>
    </w:p>
    <w:p>
      <w:pPr>
        <w:numPr>
          <w:ilvl w:val="2"/>
          <w:numId w:val="1016"/>
        </w:numPr>
      </w:pPr>
      <w:r>
        <w:t xml:space="preserve">Admission type (Elective vs Non-elective)</w:t>
      </w:r>
    </w:p>
    <w:p>
      <w:pPr>
        <w:numPr>
          <w:ilvl w:val="2"/>
          <w:numId w:val="1016"/>
        </w:numPr>
      </w:pPr>
      <w:r>
        <w:t xml:space="preserve">Hospital bed size (Small, Medium, Large)</w:t>
      </w:r>
    </w:p>
    <w:p>
      <w:pPr>
        <w:numPr>
          <w:ilvl w:val="2"/>
          <w:numId w:val="1016"/>
        </w:numPr>
      </w:pPr>
      <w:r>
        <w:t xml:space="preserve">Urban/rural teaching status (Metropolitan, teaching vs non-teaching, etc.)</w:t>
      </w:r>
    </w:p>
    <w:p>
      <w:pPr>
        <w:numPr>
          <w:ilvl w:val="1"/>
          <w:numId w:val="1013"/>
        </w:numPr>
      </w:pPr>
      <w:r>
        <w:t xml:space="preserve">Disposition and Severity:</w:t>
      </w:r>
    </w:p>
    <w:p>
      <w:pPr>
        <w:numPr>
          <w:ilvl w:val="2"/>
          <w:numId w:val="1017"/>
        </w:numPr>
      </w:pPr>
      <w:r>
        <w:t xml:space="preserve">Discharge disposition</w:t>
      </w:r>
    </w:p>
    <w:p>
      <w:pPr>
        <w:numPr>
          <w:ilvl w:val="2"/>
          <w:numId w:val="1017"/>
        </w:numPr>
      </w:pPr>
      <w:r>
        <w:t xml:space="preserve">Length of stay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18"/>
        </w:numPr>
      </w:pPr>
      <w:r>
        <w:t xml:space="preserve">Survey Design and Weighting:</w:t>
      </w:r>
    </w:p>
    <w:p>
      <w:pPr>
        <w:pStyle w:val="Compact"/>
        <w:numPr>
          <w:ilvl w:val="2"/>
          <w:numId w:val="1019"/>
        </w:numPr>
      </w:pPr>
      <w:r>
        <w:t xml:space="preserve">All analyses accounted for NRD’s complex survey design using weights (DISCWT), strata (NRD_STRATUM), and clustering (HOSP_NRD). Survey-adjusted methods were implemented via survey and srvyr packages.</w:t>
      </w:r>
    </w:p>
    <w:p>
      <w:pPr>
        <w:numPr>
          <w:ilvl w:val="1"/>
          <w:numId w:val="1018"/>
        </w:numPr>
      </w:pPr>
      <w:r>
        <w:t xml:space="preserve">Descriptive Analyses:</w:t>
      </w:r>
    </w:p>
    <w:p>
      <w:pPr>
        <w:numPr>
          <w:ilvl w:val="2"/>
          <w:numId w:val="1020"/>
        </w:numPr>
      </w:pPr>
      <w:r>
        <w:t xml:space="preserve">Summary of baseline characteristics and index admission outcomes</w:t>
      </w:r>
    </w:p>
    <w:p>
      <w:pPr>
        <w:numPr>
          <w:ilvl w:val="2"/>
          <w:numId w:val="1020"/>
        </w:numPr>
      </w:pPr>
      <w:r>
        <w:t xml:space="preserve">P-values from design-based statistical tests (Rao–Scott adjusted chi-square for categorical variables; design-based Kruskal–Wallis test for continuous variables).</w:t>
      </w:r>
    </w:p>
    <w:p>
      <w:pPr>
        <w:numPr>
          <w:ilvl w:val="1"/>
          <w:numId w:val="1018"/>
        </w:numPr>
      </w:pPr>
      <w:r>
        <w:t xml:space="preserve">Multivariable Regression:</w:t>
      </w:r>
    </w:p>
    <w:p>
      <w:pPr>
        <w:numPr>
          <w:ilvl w:val="2"/>
          <w:numId w:val="1021"/>
        </w:numPr>
      </w:pPr>
      <w:r>
        <w:t xml:space="preserve">A survey-weighted logistic regression modeled predictors of 30-day readmission.</w:t>
      </w:r>
    </w:p>
    <w:p>
      <w:pPr>
        <w:numPr>
          <w:ilvl w:val="2"/>
          <w:numId w:val="1021"/>
        </w:numPr>
      </w:pPr>
      <w:r>
        <w:t xml:space="preserve">The model included demographic, clinical, hospital-level, and index-stay factors.</w:t>
      </w:r>
    </w:p>
    <w:p>
      <w:pPr>
        <w:numPr>
          <w:ilvl w:val="2"/>
          <w:numId w:val="1021"/>
        </w:numPr>
      </w:pPr>
      <w:r>
        <w:t xml:space="preserve">Results were exponentiated to yield odds ratios (ORs) with 95% confidence intervals.</w:t>
      </w:r>
    </w:p>
    <w:p>
      <w:pPr>
        <w:numPr>
          <w:ilvl w:val="1"/>
          <w:numId w:val="1018"/>
        </w:numPr>
      </w:pPr>
      <w:r>
        <w:t xml:space="preserve">Readmission Characteristics:</w:t>
      </w:r>
    </w:p>
    <w:p>
      <w:pPr>
        <w:numPr>
          <w:ilvl w:val="1"/>
          <w:numId w:val="1000"/>
        </w:numPr>
      </w:pPr>
      <w:r>
        <w:t xml:space="preserve">Among readmitted patients, the following were summarized using survey-weighted statistics:</w:t>
      </w:r>
    </w:p>
    <w:p>
      <w:pPr>
        <w:pStyle w:val="Compact"/>
        <w:numPr>
          <w:ilvl w:val="2"/>
          <w:numId w:val="1022"/>
        </w:numPr>
      </w:pPr>
      <w:r>
        <w:t xml:space="preserve">Mortality, length of stay, and total charges during the readmission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analyses were conducted in R Statistical Language (Version 4.5.0; R Foundation for Statistical Computing, Vienna, Austria).</w:t>
      </w:r>
    </w:p>
    <w:bookmarkEnd w:id="21"/>
    <w:bookmarkStart w:id="24" w:name="descriptive-analyses"/>
    <w:p>
      <w:pPr>
        <w:pStyle w:val="Heading2"/>
      </w:pPr>
      <w:r>
        <w:t xml:space="preserve">Descriptive Analyses</w:t>
      </w:r>
    </w:p>
    <w:bookmarkStart w:id="22" w:name="baseline-characteristics"/>
    <w:p>
      <w:pPr>
        <w:pStyle w:val="Heading3"/>
      </w:pPr>
      <w:r>
        <w:t xml:space="preserve">Baseline Characteristics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16,649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Normal weight (BMI 20.0-24.9kg/m²)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661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Class I obesity (BMI 30.0-34.9kg/m²)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4,447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Class II obesity (BMI 35.0-39.9kg/m²)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3,736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Class III obesity (BMI ≥40.0kg/m²)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5,342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Overweight (BMI 25.0-29.9kg/m²)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1,511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Underweight (BMI ≤19.9kg/m²)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953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(71, 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(78, 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(73, 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(71, 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(68, 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(76, 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(76, 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7,922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380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2,374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1,835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2,103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854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8,727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281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2,073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1,900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3,239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657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577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14,797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617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4,035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3,311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4,572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1,383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879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401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1,163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282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260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482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3,594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967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1,228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181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4,947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1,265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1,648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4,530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1,178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1,097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1,469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241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3,363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701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362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 (Weekend vs Weekday)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15,865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594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4,277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3,592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5,109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1,427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866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783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170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232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 (Elective vs Non-Elective)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13,036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402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3,577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2,998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4,353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1,137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568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3,478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839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703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949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377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814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226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235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216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12,663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511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3,365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2,808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4,106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1,113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760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3,171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693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329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1,739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437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14,715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599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3,949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3,298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4,659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1,346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865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195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8,196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321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2,247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1,896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2,545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757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5,727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1,462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1,312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2,303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449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6,597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299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1,786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1,464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2,114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607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327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6,195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350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1,567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1,254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1,892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594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539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13,085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559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3,426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2,921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4,257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1,162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760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6,050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1,515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1,290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2,207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397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737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691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170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234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Rheumatic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674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211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198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Metastatic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3,694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174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1,077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300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2,251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638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181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Atrial Fibrillation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6,687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310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1,824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1,491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2,014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636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413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Prior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2,142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4,198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913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1,420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366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251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 Abuse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196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Drug Abuse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Prior Stroke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2,234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247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bookmarkEnd w:id="22"/>
    <w:bookmarkStart w:id="23" w:name="outcomes-of-index-hospitalizations"/>
    <w:p>
      <w:pPr>
        <w:pStyle w:val="Heading3"/>
      </w:pPr>
      <w:r>
        <w:t xml:space="preserve">Outcomes of Index Hospitalizations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16,649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Normal weight (BMI 20.0-24.9kg/m²)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661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Class I obesity (BMI 30.0-34.9kg/m²)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4,447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Class II obesity (BMI 35.0-39.9kg/m²)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3,736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Class III obesity (BMI ≥40.0kg/m²)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5,342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Overweight (BMI 25.0-29.9kg/m²)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1,511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Underweight (BMI ≤19.9kg/m²)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953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30-Day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1,608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302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472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229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(2.0, 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(3.0, 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(2.0, 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(2.0, 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(2.0, 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(2.0, 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(3.0, 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Charges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178,930 (128,607, 265,390)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209,848 (146,761, 350,106)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176,038 (126,922, 255,750)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171,292 (125,430, 249,700)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174,065 (127,912, 256,946)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194,704 (133,861, 275,347)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229,838 (156,744, 348,250)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Discharged to Non-Home Setting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2,938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219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597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332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23"/>
    <w:bookmarkEnd w:id="24"/>
    <w:bookmarkStart w:id="27" w:name="X7d0a1c2a05e84965e19936ca624ae03f9f9afcd"/>
    <w:p>
      <w:pPr>
        <w:pStyle w:val="Heading2"/>
      </w:pPr>
      <w:r>
        <w:t xml:space="preserve">Readmission Hospitalization Characteristics</w:t>
      </w:r>
    </w:p>
    <w:bookmarkStart w:id="25" w:name="Xa37a556a6d20fd6b07c73bea42073aeff147ee8"/>
    <w:p>
      <w:pPr>
        <w:pStyle w:val="Heading3"/>
      </w:pPr>
      <w:r>
        <w:t xml:space="preserve">In-Hospital Mortality Among Readmitted Patients</w:t>
      </w:r>
    </w:p>
    <w:p>
      <w:pPr>
        <w:pStyle w:val="FirstParagraph"/>
      </w:pPr>
      <w:r>
        <w:t xml:space="preserve">Readmission hospitalizations resulted in:</w:t>
      </w:r>
    </w:p>
    <w:p>
      <w:pPr>
        <w:numPr>
          <w:ilvl w:val="0"/>
          <w:numId w:val="1023"/>
        </w:numPr>
      </w:pPr>
      <w:r>
        <w:t xml:space="preserve">Deaths (n): 85</w:t>
      </w:r>
    </w:p>
    <w:p>
      <w:pPr>
        <w:numPr>
          <w:ilvl w:val="0"/>
          <w:numId w:val="1023"/>
        </w:numPr>
      </w:pPr>
      <w:r>
        <w:t xml:space="preserve">Death Rate (%): 5.39%</w:t>
      </w:r>
    </w:p>
    <w:p>
      <w:pPr>
        <w:numPr>
          <w:ilvl w:val="0"/>
          <w:numId w:val="1023"/>
        </w:numPr>
      </w:pPr>
      <w:r>
        <w:t xml:space="preserve">Death Rate (95% CI): 3.11% to 7.67%</w:t>
      </w:r>
    </w:p>
    <w:bookmarkEnd w:id="25"/>
    <w:bookmarkStart w:id="26" w:name="resource-utilization-during-readmission"/>
    <w:p>
      <w:pPr>
        <w:pStyle w:val="Heading3"/>
      </w:pPr>
      <w:r>
        <w:t xml:space="preserve">Resource Utilization During Readmission</w:t>
      </w:r>
    </w:p>
    <w:p>
      <w:pPr>
        <w:pStyle w:val="FirstParagraph"/>
      </w:pPr>
      <w:r>
        <w:t xml:space="preserve">Index hospitalizations resulted in:</w:t>
      </w:r>
    </w:p>
    <w:p>
      <w:pPr>
        <w:numPr>
          <w:ilvl w:val="0"/>
          <w:numId w:val="1024"/>
        </w:numPr>
      </w:pPr>
      <w:r>
        <w:t xml:space="preserve">Mean Length of Stay (days): 5.75</w:t>
      </w:r>
    </w:p>
    <w:p>
      <w:pPr>
        <w:numPr>
          <w:ilvl w:val="0"/>
          <w:numId w:val="1024"/>
        </w:numPr>
      </w:pPr>
      <w:r>
        <w:t xml:space="preserve">Mean Length of Stay (95% CI): 5.43 to 6.08</w:t>
      </w:r>
    </w:p>
    <w:p>
      <w:pPr>
        <w:numPr>
          <w:ilvl w:val="0"/>
          <w:numId w:val="1024"/>
        </w:numPr>
      </w:pPr>
      <w:r>
        <w:t xml:space="preserve">Mean Charge ($): 218620</w:t>
      </w:r>
    </w:p>
    <w:p>
      <w:pPr>
        <w:numPr>
          <w:ilvl w:val="0"/>
          <w:numId w:val="1024"/>
        </w:numPr>
      </w:pPr>
      <w:r>
        <w:t xml:space="preserve">Mean Charge (95% CI): 207345 to 229895</w:t>
      </w:r>
    </w:p>
    <w:p>
      <w:pPr>
        <w:pStyle w:val="FirstParagraph"/>
      </w:pPr>
      <w:r>
        <w:t xml:space="preserve">Readmission hospitalizations resulted in:</w:t>
      </w:r>
    </w:p>
    <w:p>
      <w:pPr>
        <w:numPr>
          <w:ilvl w:val="0"/>
          <w:numId w:val="1025"/>
        </w:numPr>
      </w:pPr>
      <w:r>
        <w:t xml:space="preserve">Mean Length of Stay (days): 5.08</w:t>
      </w:r>
    </w:p>
    <w:p>
      <w:pPr>
        <w:numPr>
          <w:ilvl w:val="0"/>
          <w:numId w:val="1025"/>
        </w:numPr>
      </w:pPr>
      <w:r>
        <w:t xml:space="preserve">Mean Length of Stay (95% CI): 4.63 to 5.52</w:t>
      </w:r>
    </w:p>
    <w:p>
      <w:pPr>
        <w:numPr>
          <w:ilvl w:val="0"/>
          <w:numId w:val="1025"/>
        </w:numPr>
      </w:pPr>
      <w:r>
        <w:t xml:space="preserve">Mean Charge ($): 55046</w:t>
      </w:r>
    </w:p>
    <w:p>
      <w:pPr>
        <w:numPr>
          <w:ilvl w:val="0"/>
          <w:numId w:val="1025"/>
        </w:numPr>
      </w:pPr>
      <w:r>
        <w:t xml:space="preserve">Mean Charge (95% CI): 49477 to 60615</w:t>
      </w:r>
    </w:p>
    <w:bookmarkEnd w:id="26"/>
    <w:bookmarkEnd w:id="27"/>
    <w:bookmarkStart w:id="29" w:name="multivariable-analyses"/>
    <w:p>
      <w:pPr>
        <w:pStyle w:val="Heading2"/>
      </w:pPr>
      <w:r>
        <w:t xml:space="preserve">Multivariable Analyses</w:t>
      </w:r>
    </w:p>
    <w:bookmarkStart w:id="28" w:name="Xc3dd9450622ca6a79fdfe146281f7a6f8e6031c"/>
    <w:p>
      <w:pPr>
        <w:pStyle w:val="Heading3"/>
      </w:pPr>
      <w:r>
        <w:t xml:space="preserve">Multivariable Predictors of 30-Day Readmission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 weight (BMI 20.0-24.9kg/m²)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Class I obesity (BMI 30.0-34.9kg/m²)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Class II obesity (BMI 35.0-39.9kg/m²)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Class III obesity (BMI ≥40.0kg/m²)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Overweight (BMI 25.0-29.9kg/m²)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Underweight (BMI ≤19.9kg/m²)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0.70, 2.37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0.44, 2.27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0.62, 2.35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 (Weekend vs Weekday)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 (Elective vs Non-Elective)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0.35, 4.00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1.06, 1.71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1.02, 2.38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Rheumatic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Metastatic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0.70, 2.81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Atrial Fibrillation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Prior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0.35, 1.76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Drug Abuse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0.36, 2.20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Prior Stroke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Discharged to Non-Home Setting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link.springer.com/article/10.1007/s10741-020-09920-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link.springer.com/article/10.1007/s10741-020-09920-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Obesity Paradox and 30-Day Readmissions After Transcatheter Aortic Valve Replacement: Insights from the Nationwide Readmissions Database (2016–2017)</dc:title>
  <dc:creator>Eliza Aisha; Asad Ali Ahmed Cheema</dc:creator>
  <cp:keywords/>
  <dcterms:created xsi:type="dcterms:W3CDTF">2025-12-01T12:37:12Z</dcterms:created>
  <dcterms:modified xsi:type="dcterms:W3CDTF">2025-12-01T12:37:12Z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RCOP NRD B9</vt:lpwstr>
  </property>
  <property fmtid="{D5CDD505-2E9C-101B-9397-08002B2CF9AE}" pid="12" name="toc-title">
    <vt:lpwstr>Table of contents</vt:lpwstr>
  </property>
</Properties>
</file>