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Trends and In-Hospital Outcomes of Pregnancy-Associated Spontaneous Coronary Artery Dissection in the United States: A Nationwide Inpatient Sample Analysis, 2017–2022</w:t>
      </w:r>
    </w:p>
    <w:p>
      <w:pPr>
        <w:pStyle w:val="Author"/>
      </w:pPr>
      <w:r>
        <w:t xml:space="preserve">Eliza Aisha</w:t>
      </w:r>
    </w:p>
    <w:bookmarkStart w:id="20" w:name="preamble"/>
    <w:p>
      <w:pPr>
        <w:pStyle w:val="Heading2"/>
      </w:pPr>
      <w:r>
        <w:t xml:space="preserve">Preamble:</w:t>
      </w:r>
    </w:p>
    <w:p>
      <w:pPr>
        <w:numPr>
          <w:ilvl w:val="0"/>
          <w:numId w:val="1001"/>
        </w:numPr>
      </w:pPr>
      <w:r>
        <w:rPr>
          <w:b/>
          <w:bCs/>
        </w:rPr>
        <w:t xml:space="preserve">Background</w:t>
      </w:r>
      <w:r>
        <w:t xml:space="preserve">: Spontaneous coronary artery dissection (SCAD) is an important cause of acute myocardial infarction in young women and is strongly associated with pregnancy and the puerperium. Pregnancy-associated SCAD is linked to substantial maternal morbidity and mortality due to hormonal, hemodynamic, and vascular changes unique to pregnancy. Despite its clinical significance, SCAD remains underrecognized in obstetric patients and contemporary nationwide data are limited.</w:t>
      </w:r>
    </w:p>
    <w:p>
      <w:pPr>
        <w:numPr>
          <w:ilvl w:val="0"/>
          <w:numId w:val="1001"/>
        </w:numPr>
      </w:pPr>
      <w:r>
        <w:rPr>
          <w:b/>
          <w:bCs/>
        </w:rPr>
        <w:t xml:space="preserve">Clinical Significance</w:t>
      </w:r>
      <w:r>
        <w:t xml:space="preserve">: Cardiovascular disease is a leading contributor to maternal morbidity and mortality in the United States. Improved understanding of the epidemiology, inpatient outcomes, and healthcare utilization associated with pregnancy-related SCAD may help inform cardio-obstetric care pathways and risk stratification strategies.</w:t>
      </w:r>
    </w:p>
    <w:p>
      <w:pPr>
        <w:numPr>
          <w:ilvl w:val="0"/>
          <w:numId w:val="1001"/>
        </w:numPr>
      </w:pPr>
      <w:r>
        <w:rPr>
          <w:b/>
          <w:bCs/>
        </w:rPr>
        <w:t xml:space="preserve">Data Source</w:t>
      </w:r>
      <w:r>
        <w:t xml:space="preserve">: Cross-sectional analysis of the National Inpatient Sample (NIS) from 2017 to 2022.</w:t>
      </w:r>
    </w:p>
    <w:p>
      <w:pPr>
        <w:numPr>
          <w:ilvl w:val="0"/>
          <w:numId w:val="1001"/>
        </w:numPr>
      </w:pPr>
      <w:r>
        <w:rPr>
          <w:b/>
          <w:bCs/>
        </w:rPr>
        <w:t xml:space="preserve">Inclusion Criteria</w:t>
      </w:r>
      <w:r>
        <w:t xml:space="preserve">:</w:t>
      </w:r>
    </w:p>
    <w:p>
      <w:pPr>
        <w:pStyle w:val="Compact"/>
        <w:numPr>
          <w:ilvl w:val="1"/>
          <w:numId w:val="1002"/>
        </w:numPr>
      </w:pPr>
      <w:r>
        <w:t xml:space="preserve">Female patients aged 15–54 years</w:t>
      </w:r>
    </w:p>
    <w:p>
      <w:pPr>
        <w:pStyle w:val="Compact"/>
        <w:numPr>
          <w:ilvl w:val="1"/>
          <w:numId w:val="1002"/>
        </w:numPr>
      </w:pPr>
      <w:r>
        <w:t xml:space="preserve">Pregnancy-related hospitalization identified using ICD-10 obstetric codes</w:t>
      </w:r>
    </w:p>
    <w:p>
      <w:pPr>
        <w:pStyle w:val="Compact"/>
        <w:numPr>
          <w:ilvl w:val="1"/>
          <w:numId w:val="1002"/>
        </w:numPr>
      </w:pPr>
      <w:r>
        <w:t xml:space="preserve">Concurrent diagnosis of SCAD (I25.42)</w:t>
      </w:r>
    </w:p>
    <w:p>
      <w:pPr>
        <w:numPr>
          <w:ilvl w:val="0"/>
          <w:numId w:val="1001"/>
        </w:numPr>
      </w:pPr>
      <w:r>
        <w:rPr>
          <w:b/>
          <w:bCs/>
        </w:rPr>
        <w:t xml:space="preserve">Outcomes</w:t>
      </w:r>
      <w:r>
        <w:t xml:space="preserve">:</w:t>
      </w:r>
    </w:p>
    <w:p>
      <w:pPr>
        <w:numPr>
          <w:ilvl w:val="1"/>
          <w:numId w:val="1003"/>
        </w:numPr>
      </w:pPr>
      <w:r>
        <w:t xml:space="preserve">In-hospital all-cause mortality</w:t>
      </w:r>
    </w:p>
    <w:p>
      <w:pPr>
        <w:numPr>
          <w:ilvl w:val="1"/>
          <w:numId w:val="1003"/>
        </w:numPr>
      </w:pPr>
      <w:r>
        <w:t xml:space="preserve">Percutaneous coronary intervention</w:t>
      </w:r>
    </w:p>
    <w:p>
      <w:pPr>
        <w:numPr>
          <w:ilvl w:val="1"/>
          <w:numId w:val="1003"/>
        </w:numPr>
      </w:pPr>
      <w:r>
        <w:t xml:space="preserve">Cardiogenic Shock</w:t>
      </w:r>
    </w:p>
    <w:p>
      <w:pPr>
        <w:numPr>
          <w:ilvl w:val="1"/>
          <w:numId w:val="1003"/>
        </w:numPr>
      </w:pPr>
      <w:r>
        <w:t xml:space="preserve">Mechanical ventilation</w:t>
      </w:r>
    </w:p>
    <w:p>
      <w:pPr>
        <w:numPr>
          <w:ilvl w:val="1"/>
          <w:numId w:val="1003"/>
        </w:numPr>
      </w:pPr>
      <w:r>
        <w:t xml:space="preserve">Acute kidney injury</w:t>
      </w:r>
    </w:p>
    <w:p>
      <w:pPr>
        <w:numPr>
          <w:ilvl w:val="1"/>
          <w:numId w:val="1003"/>
        </w:numPr>
      </w:pPr>
      <w:r>
        <w:t xml:space="preserve">Cardaic arrest</w:t>
      </w:r>
    </w:p>
    <w:p>
      <w:pPr>
        <w:numPr>
          <w:ilvl w:val="1"/>
          <w:numId w:val="1003"/>
        </w:numPr>
      </w:pPr>
      <w:r>
        <w:t xml:space="preserve">Ventricular arrhythmia</w:t>
      </w:r>
    </w:p>
    <w:p>
      <w:pPr>
        <w:numPr>
          <w:ilvl w:val="1"/>
          <w:numId w:val="1003"/>
        </w:numPr>
      </w:pPr>
      <w:r>
        <w:t xml:space="preserve">Blood transfusion</w:t>
      </w:r>
    </w:p>
    <w:p>
      <w:pPr>
        <w:numPr>
          <w:ilvl w:val="1"/>
          <w:numId w:val="1003"/>
        </w:numPr>
      </w:pPr>
      <w:r>
        <w:t xml:space="preserve">Congestive heart failure</w:t>
      </w:r>
    </w:p>
    <w:p>
      <w:pPr>
        <w:numPr>
          <w:ilvl w:val="1"/>
          <w:numId w:val="1003"/>
        </w:numPr>
      </w:pPr>
      <w:r>
        <w:t xml:space="preserve">Non home discharge</w:t>
      </w:r>
    </w:p>
    <w:p>
      <w:pPr>
        <w:numPr>
          <w:ilvl w:val="1"/>
          <w:numId w:val="1003"/>
        </w:numPr>
      </w:pPr>
      <w:r>
        <w:t xml:space="preserve">Total hospital length of stay (days)</w:t>
      </w:r>
    </w:p>
    <w:p>
      <w:pPr>
        <w:numPr>
          <w:ilvl w:val="1"/>
          <w:numId w:val="1003"/>
        </w:numPr>
      </w:pPr>
      <w:r>
        <w:t xml:space="preserve">Total charge, inflation adjusted to 2017 ($)</w:t>
      </w:r>
    </w:p>
    <w:p>
      <w:pPr>
        <w:numPr>
          <w:ilvl w:val="0"/>
          <w:numId w:val="1001"/>
        </w:numPr>
      </w:pPr>
      <w:r>
        <w:rPr>
          <w:b/>
          <w:bCs/>
        </w:rPr>
        <w:t xml:space="preserve">Covariates for Adjustment:</w:t>
      </w:r>
      <w:r>
        <w:t xml:space="preserve"> </w:t>
      </w:r>
      <w:r>
        <w:t xml:space="preserve">All models adjusted for the following</w:t>
      </w:r>
    </w:p>
    <w:p>
      <w:pPr>
        <w:numPr>
          <w:ilvl w:val="1"/>
          <w:numId w:val="1004"/>
        </w:numPr>
      </w:pPr>
      <w:r>
        <w:t xml:space="preserve">Demographics: Age, socioeconomic status and insurance, race, hospital region, hospital bedsize, hospital location, and teaching status.</w:t>
      </w:r>
    </w:p>
    <w:p>
      <w:pPr>
        <w:numPr>
          <w:ilvl w:val="1"/>
          <w:numId w:val="1004"/>
        </w:numPr>
      </w:pPr>
      <w:r>
        <w:t xml:space="preserve">Medical History: Hypertension, diabetes mellitus, hyperlipidemia, chronic obstructive pulmonary disease, liver disease, obesity, anemia, depression, smoking, cardiomyopathy, coagulopathy, gestational hypertension, gestational diabetes.</w:t>
      </w:r>
    </w:p>
    <w:p>
      <w:pPr>
        <w:numPr>
          <w:ilvl w:val="0"/>
          <w:numId w:val="1001"/>
        </w:numPr>
      </w:pPr>
      <w:r>
        <w:rPr>
          <w:b/>
          <w:bCs/>
        </w:rPr>
        <w:t xml:space="preserve">Statistical Methods:</w:t>
      </w:r>
    </w:p>
    <w:p>
      <w:pPr>
        <w:numPr>
          <w:ilvl w:val="1"/>
          <w:numId w:val="1005"/>
        </w:numPr>
      </w:pPr>
      <w:r>
        <w:rPr>
          <w:b/>
          <w:bCs/>
        </w:rPr>
        <w:t xml:space="preserve">Univariable Analysis:</w:t>
      </w:r>
    </w:p>
    <w:p>
      <w:pPr>
        <w:numPr>
          <w:ilvl w:val="2"/>
          <w:numId w:val="1006"/>
        </w:numPr>
      </w:pPr>
      <w:r>
        <w:t xml:space="preserve">Categorical variables: Compared using Pearson’s chi-square test with Rao &amp; Scott adjustment</w:t>
      </w:r>
    </w:p>
    <w:p>
      <w:pPr>
        <w:numPr>
          <w:ilvl w:val="2"/>
          <w:numId w:val="1006"/>
        </w:numPr>
      </w:pPr>
      <w:r>
        <w:t xml:space="preserve">Continuous variables: Analyzed using the design-based Kruskal–Wallis test, a non-parametric alternative suitable for survey-weighted data</w:t>
      </w:r>
    </w:p>
    <w:p>
      <w:pPr>
        <w:numPr>
          <w:ilvl w:val="1"/>
          <w:numId w:val="1005"/>
        </w:numPr>
      </w:pPr>
      <w:r>
        <w:rPr>
          <w:b/>
          <w:bCs/>
        </w:rPr>
        <w:t xml:space="preserve">Multivariable Analysis:</w:t>
      </w:r>
    </w:p>
    <w:p>
      <w:pPr>
        <w:numPr>
          <w:ilvl w:val="2"/>
          <w:numId w:val="1007"/>
        </w:numPr>
      </w:pPr>
      <w:r>
        <w:t xml:space="preserve">Binary outcomes (e.g., mortality): Survey-weighted logistic regression using the</w:t>
      </w:r>
      <w:r>
        <w:t xml:space="preserve"> </w:t>
      </w:r>
      <w:r>
        <w:rPr>
          <w:rStyle w:val="VerbatimChar"/>
        </w:rPr>
        <w:t xml:space="preserve">quasibinomial</w:t>
      </w:r>
      <w:r>
        <w:t xml:space="preserve"> </w:t>
      </w:r>
      <w:r>
        <w:t xml:space="preserve">family</w:t>
      </w:r>
    </w:p>
    <w:p>
      <w:pPr>
        <w:numPr>
          <w:ilvl w:val="2"/>
          <w:numId w:val="1007"/>
        </w:numPr>
      </w:pPr>
      <w:r>
        <w:t xml:space="preserve">Continuous outcomes (e.g., LOS, hospital charges): Survey-weighted linear regression using the</w:t>
      </w:r>
      <w:r>
        <w:t xml:space="preserve"> </w:t>
      </w:r>
      <w:r>
        <w:rPr>
          <w:rStyle w:val="VerbatimChar"/>
        </w:rPr>
        <w:t xml:space="preserve">gaussian</w:t>
      </w:r>
      <w:r>
        <w:t xml:space="preserve"> </w:t>
      </w:r>
      <w:r>
        <w:t xml:space="preserve">family</w:t>
      </w:r>
    </w:p>
    <w:p>
      <w:pPr>
        <w:numPr>
          <w:ilvl w:val="2"/>
          <w:numId w:val="1007"/>
        </w:numPr>
      </w:pPr>
      <w:r>
        <w:t xml:space="preserve">Results reported as adjusted odds ratios (aORs) or beta coefficients with 95% confidence intervals</w:t>
      </w:r>
    </w:p>
    <w:p>
      <w:pPr>
        <w:numPr>
          <w:ilvl w:val="0"/>
          <w:numId w:val="1001"/>
        </w:numPr>
      </w:pPr>
      <w:r>
        <w:rPr>
          <w:b/>
          <w:bCs/>
        </w:rPr>
        <w:t xml:space="preserve">Software:</w:t>
      </w:r>
      <w:r>
        <w:t xml:space="preserve"> </w:t>
      </w:r>
      <w:r>
        <w:t xml:space="preserve">All statistical analyses were performed using the R Statistical Language (Version 4.5.0; R Foundation for Statistical Computing, Vienna, Austria), incorporating survey-weighted procedures via the</w:t>
      </w:r>
      <w:r>
        <w:t xml:space="preserve"> </w:t>
      </w:r>
      <w:r>
        <w:rPr>
          <w:i/>
          <w:iCs/>
        </w:rPr>
        <w:t xml:space="preserve">survey</w:t>
      </w:r>
      <w:r>
        <w:t xml:space="preserve"> </w:t>
      </w:r>
      <w:r>
        <w:t xml:space="preserve">package to account for the complex sampling design of NIS.</w:t>
      </w:r>
    </w:p>
    <w:bookmarkEnd w:id="20"/>
    <w:bookmarkStart w:id="21" w:name="baseline-table"/>
    <w:p>
      <w:pPr>
        <w:pStyle w:val="Heading2"/>
      </w:pPr>
      <w:r>
        <w:t xml:space="preserve">Baseline Table: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23,109,096</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No SCAD</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23,108,141</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SCAD</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955</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29.0 (25.0, 33.0)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29.0 (25.0, 33.0)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34.0 (31.0, 37.0)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6,430,314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6,430,049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265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5,808,077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5,807,832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245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5,642,767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5,642,572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195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5,038,748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5,038,518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230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11,492,460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11,492,040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420 (46%)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3,515,649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3,515,339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310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4,800,448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4,800,328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2,490,154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2,490,089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 (7.1%)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4,797,573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4,797,368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205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3,687,988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3,687,813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175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9,215,814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9,215,444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370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5,407,720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5,407,515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205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11,733,635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11,733,060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575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6,820,484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6,820,209 (30%)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275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4,554,971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4,554,866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and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1,985,497 (8.6%)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1,985,477 (8.6%)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21,123,593 (91%)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21,122,658 (91%)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935 (98%)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Grouped Charlson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 comorbidities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21,156,611 (92%)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21,156,486 (92%)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One comorbidity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1,794,979 (7.8%)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1,794,454 (7.8%)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525 (55%)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Two or more comorbidities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157,505 (0.7%)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157,200 (0.7%)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305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35,270 (0.2%)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35,215 (0.2%)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 (5.8%)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1,012,255 (4.4%)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1,012,205 (4.4%)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Hyperlipidemia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97,325 (0.4%)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97,180 (0.4%)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145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obstructive pulmonary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1,437,840 (6.2%)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1,437,750 (6.2%)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90 (9.4%)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Liver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110,745 (0.5%)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110,725 (0.5%)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Obesity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2,285,729 (9.9%)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2,285,589 (9.9%)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140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583,165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583,115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Anxiety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1,479,434 (6.4%)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1,479,279 (6.4%)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155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Depression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32,190 (0.1%)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32,145 (0.1%)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 (4.7%)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Smoking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2,330,844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2,330,624 (10%)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220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Cardiomyopathy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15,100 (&lt;0.1%)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15,060 (&lt;0.1%)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 (4.2%)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Coagulopathy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2,285,729 (9.9%)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2,285,589 (9.9%)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140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Gestational 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1,558,580 (6.7%)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1,558,525 (6.7%)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 (5.8%)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Gestational diabetes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1,949,034 (8.4%)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1,948,989 (8.4%)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 (4.7%)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0.062</w: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preserve">Median (Q1, Q3); n (%)</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preserve">Design-based KruskalWallis test; Pearson's X^2: Rao &amp; Scott adjustment</w:t>
            </w:r>
          </w:p>
        </w:tc>
      </w:tr>
    </w:tbl>
    <w:bookmarkEnd w:id="21"/>
    <w:bookmarkStart w:id="22" w:name="outcomes-table"/>
    <w:p>
      <w:pPr>
        <w:pStyle w:val="Heading2"/>
      </w:pPr>
      <w:r>
        <w:t xml:space="preserve">Outcomes Table: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No SCAD</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23,108,141</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SCAD</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955</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Died during hospitalization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3,055 (&lt;0.1%)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 (0%)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Length of stay (days)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2.00 (2.00, 3.00)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3.00 (2.00, 5.00)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Inflation-adjusted total charge ($)</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20,185 (13,405, 31,128)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61,679 (36,041, 120,985)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Percutaneous coronary intervention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230 (&lt;0.1%)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Cardiogenic Shock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1,765 (&lt;0.1%)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85 (8.9%)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Mechanical ventilation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22,425 (&lt;0.1%)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 (6.8%)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Acute kidney injury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51,670 (0.2%)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Cardaic arrest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3,515 (&lt;0.1%)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Ventricular arrhythmia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5,810 (&lt;0.1%)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Blood rransfusion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345,350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 (3.7%)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Acute myocardial infarction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3,720 (&lt;0.1%)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720 (75%)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Congestive heart failure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37,490 (0.2%)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275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Deep vein thrombosis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26,060 (0.1%)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Non home discharge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192,275 (0.8%)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4"/>
          </w:tcPr>
          <w:p>
            <w:pPr>
              <w:spacing w:before="0" w:after="60"/>
              <w:keepNext/>
            </w:pPr>
            <w:r>
              <w:rPr>
                <w:vertAlign w:val="superscript"/>
                <w:i/>
                <w:rFonts w:ascii="Calibri" w:hAnsi="Calibri"/>
                <w:sz w:val="20"/>
              </w:rPr>
              <w:t xml:space="default">1</w:t>
            </w:r>
            <w:r>
              <w:rPr>
                <w:rFonts w:ascii="Calibri" w:hAnsi="Calibri"/>
                <w:sz w:val="20"/>
              </w:rPr>
              <w:t xml:space="preserve">n (%); Median (Q1, Q3)</w:t>
            </w:r>
          </w:p>
        </w:tc>
      </w:tr>
      <w:tr>
        <w:trPr>
          <w:cantSplit/>
        </w:trPr>
        <w:tc>
          <w:tcPr>
            <w:gridSpan w:val="4"/>
          </w:tcPr>
          <w:p>
            <w:pPr>
              <w:spacing w:before="0" w:after="60"/>
              <w:keepNext/>
            </w:pPr>
            <w:r>
              <w:rPr>
                <w:vertAlign w:val="superscript"/>
                <w:i/>
                <w:rFonts w:ascii="Calibri" w:hAnsi="Calibri"/>
                <w:sz w:val="20"/>
              </w:rPr>
              <w:t xml:space="default">2</w:t>
            </w:r>
            <w:r>
              <w:rPr>
                <w:rFonts w:ascii="Calibri" w:hAnsi="Calibri"/>
                <w:sz w:val="20"/>
              </w:rPr>
              <w:t xml:space="preserve">Pearson's X^2: Rao &amp; Scott adjustment; Design-based KruskalWallis test</w:t>
            </w:r>
          </w:p>
        </w:tc>
      </w:tr>
    </w:tbl>
    <w:bookmarkEnd w:id="22"/>
    <w:bookmarkStart w:id="34" w:name="multivariable-logistic-regression"/>
    <w:p>
      <w:pPr>
        <w:pStyle w:val="Heading2"/>
      </w:pPr>
      <w:r>
        <w:t xml:space="preserve">Multivariable Logistic Regression:</w:t>
      </w:r>
    </w:p>
    <w:bookmarkStart w:id="23" w:name="Xa81117ad33ec6ad6e82efff2f6b4a0933c4bf76"/>
    <w:p>
      <w:pPr>
        <w:pStyle w:val="Heading3"/>
      </w:pPr>
      <w:r>
        <w:t xml:space="preserve">Utilization of percutaneous coronary intervention:</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Coronary_Dissection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 SCAD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SCAD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1,454, 8,719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Insurance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1.24, 4.85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0.19, 13.1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1.13, 1.23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0.46, 1.89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0.24, 1.28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0.07, 0.79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0.46, 2.09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0.09, 0.70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0.12, 1.08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0.11, 2.12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0.60, 3.29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1.09, 6.71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0.76, 2.77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0.50, 2.73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and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0.42, 7.19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0.02, 9.65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0.63, 4.13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Hyperlipidemia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18.5, 100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obstructive pulmonary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0.23, 2.01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Liver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0.15, 15.8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Obesity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0.28, 1.89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0.42, 4.76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Depression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0.07, 8.36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Smoking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0.99, 3.94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Cardiomyopathy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3.73, 65.0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Gestational 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0.08, 2.21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Gestational diabetes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0.02, 2.31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23"/>
    <w:bookmarkStart w:id="24" w:name="cardiogenic-shock"/>
    <w:p>
      <w:pPr>
        <w:pStyle w:val="Heading3"/>
      </w:pPr>
      <w:r>
        <w:t xml:space="preserve">Cardiogenic Shock:</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Coronary_Dissection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 SCAD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SCAD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168, 985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Insurance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0.95, 1.62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0.67, 3.05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0.92, 2.97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0.99, 1.04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0.71, 1.26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0.64, 1.22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0.45, 0.99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0.98, 1.82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0.52, 1.06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0.54, 1.23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0.44, 0.98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0.70, 1.26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0.59, 1.19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0.30, 0.57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0.17, 0.42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and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2.16, 10.4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5.54, 19.4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0.82, 2.05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Hyperlipidemia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0.76, 3.35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obstructive pulmonary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0.60, 1.32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Liver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21.6, 44.0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Obesity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0.89, 1.67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1.22, 3.01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Depression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3.86, 15.0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Smoking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0.86, 1.63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Cardiomyopathy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45.9, 142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Gestational 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0.17, 0.83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Gestational diabetes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0.16, 0.62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24"/>
    <w:bookmarkStart w:id="25" w:name="mechanical-ventilation"/>
    <w:p>
      <w:pPr>
        <w:pStyle w:val="Heading3"/>
      </w:pPr>
      <w:r>
        <w:t xml:space="preserve">Mechanical ventilation:</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Coronary_Dissection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 SCAD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SCAD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6.47, 33.7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Insurance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1.41, 1.64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1.54, 2.44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1.10, 1.63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1.03, 1.05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0.84, 0.99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0.71, 0.85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0.56, 0.69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1.38, 1.64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0.86, 1.04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0.98, 1.22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0.81, 1.03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0.91, 1.10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0.85, 1.06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0.63, 0.74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0.49, 0.60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and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2.09, 2.99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14.7, 20.5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1.05, 1.39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Hyperlipidemia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2.35, 3.68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obstructive pulmonary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1.51, 1.84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Liver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9.52, 12.4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Obesity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1.26, 1.50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1.78, 2.30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Depression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4.57, 7.75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Smoking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1.06, 1.27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Cardiomyopathy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12.0, 20.5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Gestational 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0.49, 0.67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Gestational diabetes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0.72, 0.90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25"/>
    <w:bookmarkStart w:id="26" w:name="acute-kidney-injury"/>
    <w:p>
      <w:pPr>
        <w:pStyle w:val="Heading3"/>
      </w:pPr>
      <w:r>
        <w:t xml:space="preserve">Acute kidney injury:</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Coronary_Dissection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 SCAD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SCAD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0.09, 2.33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Insurance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1.12, 1.24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1.40, 1.92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0.99, 1.30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1.02, 1.03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0.82, 0.92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0.77, 0.87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0.68, 0.79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1.94, 2.19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0.97, 1.11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0.99, 1.16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0.083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0.98, 1.19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0.81, 0.94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1.01, 1.19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0.64, 0.73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0.55, 0.64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and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2.29, 2.97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5.58, 7.95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2.29, 2.62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Hyperlipidemia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1.53, 2.12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obstructive pulmonary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1.15, 1.33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Liver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9.78, 11.9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Obesity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1.26, 1.42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2.11, 2.48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Depression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31.8, 39.4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Smoking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1.17, 1.32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Cardiomyopathy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2.45, 4.11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Gestational 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0.89, 1.05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Gestational diabetes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0.68, 0.80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26"/>
    <w:bookmarkStart w:id="27" w:name="cardiac-arrest"/>
    <w:p>
      <w:pPr>
        <w:pStyle w:val="Heading3"/>
      </w:pPr>
      <w:r>
        <w:t xml:space="preserve">Cardiac arrest:</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Coronary_Dissection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 SCAD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SCAD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50.7, 303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Insurance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1.22, 1.77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1.05, 3.21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0.80, 2.11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1.06, 1.09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0.80, 1.18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0.68, 1.05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0.47, 0.79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1.39, 2.10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0.70, 1.13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0.65, 1.15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0.58, 1.01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0.82, 1.24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0.87, 1.40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0.73, 1.05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0.67, 1.06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and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1.03, 2.08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3.83, 12.0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0.81, 1.62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Hyperlipidemia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0.63, 2.23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obstructive pulmonary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1.15, 1.89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Liver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22.8, 37.2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Obesity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1.05, 1.60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1.08, 2.14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Depression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1.42, 5.72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Smoking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0.83, 1.33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Cardiomyopathy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16.0, 46.4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Gestational 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0.47, 0.98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Gestational diabetes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0.59, 1.05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27"/>
    <w:bookmarkStart w:id="28" w:name="ventricular-arrhythmia"/>
    <w:p>
      <w:pPr>
        <w:pStyle w:val="Heading3"/>
      </w:pPr>
      <w:r>
        <w:t xml:space="preserve">Ventricular arrhythmia:</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Coronary_Dissection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 SCAD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SCAD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69.9, 292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Insurance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1.22, 2.72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0.61, 1.39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1.02, 1.05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0.82, 1.15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0.81, 1.15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0.82, 1.22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1.13, 1.56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0.52, 0.77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0.52, 0.82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0.75, 1.15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0.79, 1.13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0.74, 1.13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0.56, 0.77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0.41, 0.61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and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1.81, 3.55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5.67, 13.2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1.05, 1.70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Hyperlipidemia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2.08, 4.38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obstructive pulmonary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1.17, 1.72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Liver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5.26, 9.45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Obesity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1.12, 1.57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1.45, 2.43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Depression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2.04, 5.11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Smoking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1.29, 1.80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Cardiomyopathy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48.6, 99.2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Gestational 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0.70, 1.15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Gestational diabetes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0.63, 1.01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0.061</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28"/>
    <w:bookmarkStart w:id="29" w:name="blood-transfusion"/>
    <w:p>
      <w:pPr>
        <w:pStyle w:val="Heading3"/>
      </w:pPr>
      <w:r>
        <w:t xml:space="preserve">Blood transfusion:</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Coronary_Dissection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 SCAD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SCAD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0.74, 3.61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Insurance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1.18, 1.26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1.49, 1.73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0.97, 1.11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1.01, 1.02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0.88, 0.95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0.85, 0.91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0.82, 0.89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1.78, 1.91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1.46, 1.57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1.49, 1.63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2.05, 2.47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1.35, 1.56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1.25, 1.47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0.95, 1.08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0.89, 1.00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and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0.75, 0.83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2.36, 2.98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1.18, 1.26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Hyperlipidemia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1.04, 1.28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obstructive pulmonary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1.15, 1.23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Liver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2.03, 2.35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Obesity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1.01, 1.08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3.28, 3.53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Depression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3.03, 3.74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Smoking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1.02, 1.09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Cardiomyopathy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1.89, 2.70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Gestational 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1.09, 1.16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Gestational diabetes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0.91, 0.97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29"/>
    <w:bookmarkStart w:id="30" w:name="congestive-heart-failure"/>
    <w:p>
      <w:pPr>
        <w:pStyle w:val="Heading3"/>
      </w:pPr>
      <w:r>
        <w:t xml:space="preserve">Congestive heart failure: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Coronary_Dissection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 SCAD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SCAD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143, 368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Insurance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1.35, 1.57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1.32, 2.09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1.00, 1.51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1.05, 1.07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0.80, 0.94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0.76, 0.91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0.58, 0.73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1.49, 1.76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0.60, 0.73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0.96, 1.22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0.75, 0.95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1.12, 1.35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0.95, 1.20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0.85, 0.99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0.76, 0.91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and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1.23, 1.62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4.88, 8.72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0.65, 0.85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Hyperlipidemia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2.06, 3.21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obstructive pulmonary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1.68, 2.03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Liver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3.72, 5.82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Obesity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1.59, 1.87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2.85, 3.63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Depression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368, 442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Smoking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1.75, 2.06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Cardiomyopathy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9,388, 12,551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Gestational 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0.86, 1.11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Gestational diabetes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0.59, 0.75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30"/>
    <w:bookmarkStart w:id="31" w:name="acute-myocardial-infarction"/>
    <w:p>
      <w:pPr>
        <w:pStyle w:val="Heading3"/>
      </w:pPr>
      <w:r>
        <w:t xml:space="preserve">Acute myocardial infarction:</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Coronary_Dissection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 SCAD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SCAD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13,170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8,820, 19,667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Insurance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1.25, 1.79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1.00, 2.89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0.97, 2.28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1.06, 1.09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0.77, 1.15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0.61, 0.95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0.48, 0.79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1.25, 1.90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0.77, 1.23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0.83, 1.42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0.74, 1.29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0.93, 1.47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0.93, 1.55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0.67, 0.96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0.68, 1.05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and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1.10, 2.30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7.79, 18.1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0.62, 1.22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Hyperlipidemia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4.99, 10.6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obstructive pulmonary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0.83, 1.40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Liver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3.81, 8.27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Obesity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0.96, 1.47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1.78, 3.19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Depression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9.88, 28.0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Smoking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1.35, 2.01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Cardiomyopathy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9.47, 29.0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Gestational 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0.64, 1.20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Gestational diabetes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0.36, 0.69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31"/>
    <w:bookmarkStart w:id="32" w:name="deep-vein-thrombosis"/>
    <w:p>
      <w:pPr>
        <w:pStyle w:val="Heading3"/>
      </w:pPr>
      <w:r>
        <w:t xml:space="preserve">Deep vein thrombosis: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Coronary_Dissection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 SCAD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SCAD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2.16, 19.1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Insurance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1.16, 1.33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1.74, 2.62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0.96, 1.36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1.03, 1.05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0.93, 1.09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0.86, 1.01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0.68, 0.83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1.08, 1.27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0.67, 0.80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0.57, 0.72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0.90, 1.09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0.86, 1.01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0.081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0.84, 1.01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0.66, 0.76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0.52, 0.63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and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1.80, 2.43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6.59, 9.95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1.21, 1.53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Hyperlipidemia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1.48, 2.44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obstructive pulmonary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1.32, 1.59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Liver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2.98, 4.38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Obesity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1.24, 1.47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3.04, 3.73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Depression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2.90, 5.12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Smoking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1.11, 1.32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Cardiomyopathy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2.30, 5.17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Gestational 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0.47, 0.62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Gestational diabetes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0.55, 0.70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32"/>
    <w:bookmarkStart w:id="33" w:name="non-home-discharge"/>
    <w:p>
      <w:pPr>
        <w:pStyle w:val="Heading3"/>
      </w:pPr>
      <w:r>
        <w:t xml:space="preserve">Non home discharge: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Coronary_Dissection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 SCAD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SCAD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4.36, 14.3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Insurance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1.90, 2.03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3.18, 3.71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1.16, 1.37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1.01, 1.01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0.85, 0.90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0.72, 0.77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0.56, 0.62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1.43, 1.54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0.74, 0.81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0.83, 0.91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1.31, 1.47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0.92, 1.01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1.42, 1.61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1.11, 1.21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1.32, 1.45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and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0.63, 0.71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2.49, 3.31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1.36, 1.50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Hyperlipidemia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1.34, 1.72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obstructive pulmonary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1.33, 1.43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Liver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3.50, 4.09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Obesity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0.83, 0.89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1.14, 1.31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Depression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3.33, 4.27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Smoking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2.01, 2.14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Cardiomyopathy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3.57, 5.04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Gestational 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0.80, 0.87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Gestational diabetes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0.73, 0.80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33"/>
    <w:bookmarkEnd w:id="34"/>
    <w:bookmarkStart w:id="37" w:name="multivariable-linear-regression"/>
    <w:p>
      <w:pPr>
        <w:pStyle w:val="Heading2"/>
      </w:pPr>
      <w:r>
        <w:t xml:space="preserve">Multivariable Linear Regression:</w:t>
      </w:r>
    </w:p>
    <w:bookmarkStart w:id="35" w:name="length-of-stay"/>
    <w:p>
      <w:pPr>
        <w:pStyle w:val="Heading3"/>
      </w:pPr>
      <w:r>
        <w:t xml:space="preserve">Length of Stay:</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Beta</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Coronary_Dissection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 SCAD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SCAD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0.55, 1.8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Insurance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0.40, 0.52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-0.01, 0.03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-0.02, 0.01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0.26, 0.29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0.08, 0.10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0.18, 0.22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0.03, 0.07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-0.13, -0.08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-0.22, -0.18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-0.32, -0.29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and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0.42, 0.45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0.40, 0.44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Hyperlipidemia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0.39, 0.52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obstructive pulmonary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0.19, 0.21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Liver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Obesity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0.38, 0.41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0.52, 0.58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Depression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Smoking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0.10, 0.12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Cardiomyopathy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Gestational 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0.39, 0.41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Gestational diabetes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0.30, 0.33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4"/>
          </w:tcPr>
          <w:p>
            <w:pPr>
              <w:spacing w:before="0" w:after="60"/>
              <w:keepNext/>
            </w:pPr>
            <w:r>
              <w:rPr>
                <w:rFonts w:ascii="Calibri" w:hAnsi="Calibri"/>
                <w:sz w:val="20"/>
              </w:rPr>
              <w:t xml:space="preserve">Abbreviation: CI = Confidence Interval</w:t>
            </w:r>
          </w:p>
        </w:tc>
      </w:tr>
    </w:tbl>
    <w:bookmarkEnd w:id="35"/>
    <w:bookmarkStart w:id="36" w:name="inflation-adjusted-total-charge"/>
    <w:p>
      <w:pPr>
        <w:pStyle w:val="Heading3"/>
      </w:pPr>
      <w:r>
        <w:t xml:space="preserve">Inflation Adjusted Total Charge: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Beta</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Coronary_Dissection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 SCAD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SCAD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72,717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55,085, 90,349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Insurance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512, 892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3,034, 4,631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-1,045, -239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201, 228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-991, -509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-1,465, -855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Q4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-706, 295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Black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3,116, 3,711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3,206, 3,861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2,327, 3,038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region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Midwest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Northeast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6,221, 7,817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South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2,154, 3,151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West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7,552, 8,992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-2,414, -1,186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-4,483, -3,314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and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Rural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Urban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6,882, 7,639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31,014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27,028, 35,000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Diabetes mellitus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3,145, 3,638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Hyperlipidemia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5,333, 7,441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obstructive pulmonary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1,821, 2,242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Liver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17,173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15,137, 19,209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Obesity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3,470, 4,000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Anemia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6,283, 7,349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Depression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30,171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26,796, 33,546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Smoking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-540, -178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Cardiomyopathy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42,887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33,894, 51,880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Gestational hypertension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2,934, 3,266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Gestational diabetes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2,189, 2,517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4"/>
          </w:tcPr>
          <w:p>
            <w:pPr>
              <w:spacing w:before="0" w:after="60"/>
              <w:keepNext/>
            </w:pPr>
            <w:r>
              <w:rPr>
                <w:rFonts w:ascii="Calibri" w:hAnsi="Calibri"/>
                <w:sz w:val="20"/>
              </w:rPr>
              <w:t xml:space="preserve">Abbreviation: CI = Confidence Interval</w:t>
            </w:r>
          </w:p>
        </w:tc>
      </w:tr>
    </w:tbl>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Trends and In-Hospital Outcomes of Pregnancy-Associated Spontaneous Coronary Artery Dissection in the United States: A Nationwide Inpatient Sample Analysis, 2017–2022</dc:title>
  <dc:creator>Eliza Aisha</dc:creator>
  <cp:keywords/>
  <dcterms:created xsi:type="dcterms:W3CDTF">2026-06-05T12:31:51Z</dcterms:created>
  <dcterms:modified xsi:type="dcterms:W3CDTF">2026-06-05T12:31:51Z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