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Bicuspid vs Tricuspid Aortic Valve Stenosis and 30-Day all-cause Readmission Following Transcatheter Aortic Valve Replacement</w:t>
      </w:r>
    </w:p>
    <w:p>
      <w:pPr>
        <w:pStyle w:val="Subtitle"/>
      </w:pPr>
      <w:r>
        <w:t xml:space="preserve">A National Readmissions Database Analysis</w:t>
      </w:r>
    </w:p>
    <w:p>
      <w:pPr>
        <w:pStyle w:val="Author"/>
      </w:pPr>
      <w:r>
        <w:t xml:space="preserve">Eliza Aisha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Waqas Ullah et al., 2022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compare the clinical outcomes, readmission burden, and associated healthcare costs among patients with bicuspid versus tricuspid aortic valve stenosis undergoing transcatheter aortic valve replacement (TAVR).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Index hospitalizations were included if they met all of the following criteria:</w:t>
      </w:r>
    </w:p>
    <w:p>
      <w:pPr>
        <w:numPr>
          <w:ilvl w:val="1"/>
          <w:numId w:val="1003"/>
        </w:numPr>
      </w:pPr>
      <w:r>
        <w:t xml:space="preserve">Adults aged ≥ 18 years</w:t>
      </w:r>
    </w:p>
    <w:p>
      <w:pPr>
        <w:numPr>
          <w:ilvl w:val="1"/>
          <w:numId w:val="1003"/>
        </w:numPr>
      </w:pPr>
      <w:r>
        <w:t xml:space="preserve">Undergoing TAVR, identified using ICD-10-PCS codes: 02RF37H, 02RF37Z, 02RF38H, 02RF38Z, 02RF3JH, 02RF3JZ, 02RF3KH, 02RF3KZ, 02RF47Z, 02RF48Z, 02RF4JZ, 02RF4KZ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Outcomes:</w:t>
      </w:r>
    </w:p>
    <w:p>
      <w:pPr>
        <w:pStyle w:val="Compact"/>
        <w:numPr>
          <w:ilvl w:val="2"/>
          <w:numId w:val="1005"/>
        </w:numPr>
      </w:pPr>
      <w:r>
        <w:t xml:space="preserve">Predictors of 30-day readmission</w:t>
      </w:r>
    </w:p>
    <w:p>
      <w:pPr>
        <w:numPr>
          <w:ilvl w:val="1"/>
          <w:numId w:val="1004"/>
        </w:numPr>
      </w:pPr>
      <w:r>
        <w:t xml:space="preserve">Secondary Outcomes: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(inflation-adjusted to 2022 USD)</w:t>
      </w:r>
    </w:p>
    <w:p>
      <w:pPr>
        <w:numPr>
          <w:ilvl w:val="2"/>
          <w:numId w:val="1006"/>
        </w:numPr>
      </w:pPr>
      <w:r>
        <w:t xml:space="preserve">Stroke</w:t>
      </w:r>
    </w:p>
    <w:p>
      <w:pPr>
        <w:numPr>
          <w:ilvl w:val="2"/>
          <w:numId w:val="1006"/>
        </w:numPr>
      </w:pPr>
      <w:r>
        <w:t xml:space="preserve">Major bleeding</w:t>
      </w:r>
    </w:p>
    <w:p>
      <w:pPr>
        <w:numPr>
          <w:ilvl w:val="2"/>
          <w:numId w:val="1006"/>
        </w:numPr>
      </w:pPr>
      <w:r>
        <w:t xml:space="preserve">Acute kidney injury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7"/>
        </w:numPr>
      </w:pPr>
      <w:r>
        <w:t xml:space="preserve">Readmission:</w:t>
      </w:r>
    </w:p>
    <w:p>
      <w:pPr>
        <w:numPr>
          <w:ilvl w:val="2"/>
          <w:numId w:val="1008"/>
        </w:numPr>
      </w:pPr>
      <w:r>
        <w:t xml:space="preserve">Defined using NRD’s linkage variables. Readmissions were identified only among patients with qualifying index events.</w:t>
      </w:r>
    </w:p>
    <w:p>
      <w:pPr>
        <w:numPr>
          <w:ilvl w:val="2"/>
          <w:numId w:val="1008"/>
        </w:numPr>
      </w:pPr>
      <w:r>
        <w:t xml:space="preserve">Trauma-related hospitalizations were excluded only from the readmission pool to avoid injury-related returns unrelated to aortic dissection care.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09"/>
        </w:numPr>
      </w:pPr>
      <w:r>
        <w:t xml:space="preserve">We adjusted for the following covariates:</w:t>
      </w:r>
    </w:p>
    <w:p>
      <w:pPr>
        <w:numPr>
          <w:ilvl w:val="2"/>
          <w:numId w:val="1010"/>
        </w:numPr>
      </w:pPr>
      <w:r>
        <w:t xml:space="preserve">Age</w:t>
      </w:r>
    </w:p>
    <w:p>
      <w:pPr>
        <w:numPr>
          <w:ilvl w:val="2"/>
          <w:numId w:val="1010"/>
        </w:numPr>
      </w:pPr>
      <w:r>
        <w:t xml:space="preserve">Sex</w:t>
      </w:r>
    </w:p>
    <w:p>
      <w:pPr>
        <w:numPr>
          <w:ilvl w:val="2"/>
          <w:numId w:val="1010"/>
        </w:numPr>
      </w:pPr>
      <w:r>
        <w:t xml:space="preserve">Primary expected payer</w:t>
      </w:r>
    </w:p>
    <w:p>
      <w:pPr>
        <w:numPr>
          <w:ilvl w:val="2"/>
          <w:numId w:val="1010"/>
        </w:numPr>
      </w:pPr>
      <w:r>
        <w:t xml:space="preserve">ZIP-based median income quartile</w:t>
      </w:r>
    </w:p>
    <w:p>
      <w:pPr>
        <w:numPr>
          <w:ilvl w:val="2"/>
          <w:numId w:val="1010"/>
        </w:numPr>
      </w:pPr>
      <w:r>
        <w:t xml:space="preserve">Charlson comorbidity index</w:t>
      </w:r>
    </w:p>
    <w:p>
      <w:pPr>
        <w:numPr>
          <w:ilvl w:val="2"/>
          <w:numId w:val="1010"/>
        </w:numPr>
      </w:pPr>
      <w:r>
        <w:t xml:space="preserve">Hospital bed size (Small, Medium, Large)</w:t>
      </w:r>
    </w:p>
    <w:p>
      <w:pPr>
        <w:numPr>
          <w:ilvl w:val="2"/>
          <w:numId w:val="1010"/>
        </w:numPr>
      </w:pPr>
      <w:r>
        <w:t xml:space="preserve">Hospital teaching status</w:t>
      </w:r>
    </w:p>
    <w:p>
      <w:pPr>
        <w:numPr>
          <w:ilvl w:val="2"/>
          <w:numId w:val="1010"/>
        </w:numPr>
      </w:pPr>
      <w:r>
        <w:t xml:space="preserve">Hospital urban-rural category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1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2"/>
        </w:numPr>
      </w:pPr>
      <w:r>
        <w:t xml:space="preserve">All analyses incorporated NRD’s complex sampling design via the survey and srvyr packages.</w:t>
      </w:r>
    </w:p>
    <w:p>
      <w:pPr>
        <w:numPr>
          <w:ilvl w:val="1"/>
          <w:numId w:val="1011"/>
        </w:numPr>
      </w:pPr>
      <w:r>
        <w:t xml:space="preserve">Descriptive Statistics:</w:t>
      </w:r>
    </w:p>
    <w:p>
      <w:pPr>
        <w:numPr>
          <w:ilvl w:val="2"/>
          <w:numId w:val="1013"/>
        </w:numPr>
      </w:pPr>
      <w:r>
        <w:t xml:space="preserve">Weighted baseline characteristics of index hospitalizations were summarized and stratified by 30-day readmission status to compare patients with vs without 30-day readmissions.</w:t>
      </w:r>
    </w:p>
    <w:p>
      <w:pPr>
        <w:numPr>
          <w:ilvl w:val="2"/>
          <w:numId w:val="1013"/>
        </w:numPr>
      </w:pPr>
      <w:r>
        <w:t xml:space="preserve">P-values from statistical tests (Rao–Scott adjusted chi-square for categorical variables; Kruskal–Wallis test for continuous variables).</w:t>
      </w:r>
    </w:p>
    <w:p>
      <w:pPr>
        <w:numPr>
          <w:ilvl w:val="1"/>
          <w:numId w:val="1011"/>
        </w:numPr>
      </w:pPr>
      <w:r>
        <w:t xml:space="preserve">Multivariable Regression:</w:t>
      </w:r>
    </w:p>
    <w:p>
      <w:pPr>
        <w:numPr>
          <w:ilvl w:val="2"/>
          <w:numId w:val="1014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14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14"/>
        </w:numPr>
      </w:pPr>
      <w:r>
        <w:t xml:space="preserve">Results were exponentiated to yield odds ratios (ORs)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2" w:name="descriptive-statistics"/>
    <w:p>
      <w:pPr>
        <w:pStyle w:val="Heading2"/>
      </w:pPr>
      <w:r>
        <w:t xml:space="preserve">Descriptive Statistics:</w:t>
      </w:r>
    </w:p>
    <w:bookmarkEnd w:id="22"/>
    <w:bookmarkStart w:id="23" w:name="baseline-characteristics"/>
    <w:p>
      <w:pPr>
        <w:pStyle w:val="Heading2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308,885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Tricuspid Aortic Valve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299,536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Bicuspid Aortic Valve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9,348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18–49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1,323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1,096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50–64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17,943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15,858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65–79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143,336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138,132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5,204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146,283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144,449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64,210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62,445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85,072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82,552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81,969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79,379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74,310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71,956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Elective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39,358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37,867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269,291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261,446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7,845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20,506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19,959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547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218,388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211,326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7,062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69,991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68,252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174,997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169,355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3,596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3,521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130,291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126,661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3,630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29,753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29,007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747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275,535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267,009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8,526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3,596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3,521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4,317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3,894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423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272,479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265,728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6,751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7,336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7,076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23,252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21,448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25,374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24,376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64,557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62,218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218,954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212,943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6,011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60,321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58,119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2,202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64,982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62,827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115,910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113,112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2,798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45,128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43,999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11,146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10,604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542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1,110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1,095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12,175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11,793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216,774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211,141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5,633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bookmarkEnd w:id="23"/>
    <w:bookmarkStart w:id="24" w:name="outcomes-table"/>
    <w:p>
      <w:pPr>
        <w:pStyle w:val="Heading2"/>
      </w:pPr>
      <w:r>
        <w:t xml:space="preserve">Outcomes 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308,885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Tricuspid Aortic Valve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299,536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Bicuspid Aortic Valve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9,348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175,012 (130,263, 253,767)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175,102 (130,258, 253,804)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172,119 (130,305, 252,628)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6,447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6,171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277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3,605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Major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20,325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19,649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20,901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20,160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740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4"/>
    <w:bookmarkStart w:id="33" w:name="multivariable-regression"/>
    <w:p>
      <w:pPr>
        <w:pStyle w:val="Heading2"/>
      </w:pPr>
      <w:r>
        <w:t xml:space="preserve">Multivariable Regression</w:t>
      </w:r>
    </w:p>
    <w:bookmarkStart w:id="25" w:name="day-readmission"/>
    <w:p>
      <w:pPr>
        <w:pStyle w:val="Heading3"/>
      </w:pPr>
      <w:r>
        <w:t xml:space="preserve">30-Day Readmission: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major-bleeding"/>
    <w:p>
      <w:pPr>
        <w:pStyle w:val="Heading3"/>
      </w:pPr>
      <w:r>
        <w:t xml:space="preserve">Major bleeding: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0.44, 2.64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stroke"/>
    <w:p>
      <w:pPr>
        <w:pStyle w:val="Heading3"/>
      </w:pPr>
      <w:r>
        <w:t xml:space="preserve">Stroke: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acute-myocardial-infarction"/>
    <w:p>
      <w:pPr>
        <w:pStyle w:val="Heading3"/>
      </w:pPr>
      <w:r>
        <w:t xml:space="preserve">Acute myocardial infarction: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-0.21, 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-0.28, 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-0.37, 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-0.83, 0.00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-0.65, 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-0.10, 0.22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-2.1, 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-2.0, 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-2.0, 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1"/>
    <w:bookmarkStart w:id="32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Bicuspid Aortic Valve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-596, 12,108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-152, 159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-11,531, -2,992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-16,181, -4,795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-10,921, 9,861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16,960, 51,858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20,416, 59,529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urban-rural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metropolitan &gt;=1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-105,016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-128,709, -81,323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metropolitan &lt;1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-31,556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-43,607, -19,505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-30,090, 2,720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-32,221, -9,540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-87,728, 53,673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-23,386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-37,993, -8,779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-26,178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-37,045, -15,311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-25,333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-46,203, -4,464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5,948, 7,737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3618339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3618339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Bicuspid vs Tricuspid Aortic Valve Stenosis and 30-Day all-cause Readmission Following Transcatheter Aortic Valve Replacement</dc:title>
  <dc:creator>Eliza Aisha</dc:creator>
  <cp:keywords/>
  <dcterms:created xsi:type="dcterms:W3CDTF">2026-05-08T23:35:37Z</dcterms:created>
  <dcterms:modified xsi:type="dcterms:W3CDTF">2026-05-08T23:35:37Z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 National Readmissions Database Analysis</vt:lpwstr>
  </property>
  <property fmtid="{D5CDD505-2E9C-101B-9397-08002B2CF9AE}" pid="12" name="toc-title">
    <vt:lpwstr>Table of contents</vt:lpwstr>
  </property>
</Properties>
</file>