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Impact of Urinary Tract Infections on In-Hospital Outcomes Among Renal Cell Carcinoma Patients: A National Inpatient Sample Study</w:t>
      </w:r>
    </w:p>
    <w:p>
      <w:pPr>
        <w:pStyle w:val="Author"/>
      </w:pPr>
      <w:r>
        <w:t xml:space="preserve">Eliza Aisha</w:t>
      </w:r>
    </w:p>
    <w:bookmarkStart w:id="20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</w:t>
      </w:r>
      <w:r>
        <w:t xml:space="preserve">: To assess whether urinary tract infection (UTI) among renal cell carcinoma hospitalizations is associated with worse in-hospital outcomes (mortality, complications, resource use) after adjusting for patient and hospital factors.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</w:t>
      </w:r>
      <w:r>
        <w:t xml:space="preserve">: Cross-sectional analysis of the National Inpatient Sample (NIS) from 2018 to 2021. The NIS is part of the Healthcare Cost and Utilization Project (HCUP) and provides a stratified sample of inpatient discharges from U.S. community hospitals across all payers.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  <w:r>
        <w:t xml:space="preserve"> </w:t>
      </w:r>
      <w:r>
        <w:t xml:space="preserve">Patients were included if they met the following criteria</w:t>
      </w:r>
    </w:p>
    <w:p>
      <w:pPr>
        <w:numPr>
          <w:ilvl w:val="1"/>
          <w:numId w:val="1002"/>
        </w:numPr>
      </w:pPr>
      <w:r>
        <w:t xml:space="preserve">Age ≥ 18 years</w:t>
      </w:r>
    </w:p>
    <w:p>
      <w:pPr>
        <w:numPr>
          <w:ilvl w:val="1"/>
          <w:numId w:val="1002"/>
        </w:numPr>
      </w:pPr>
      <w:r>
        <w:t xml:space="preserve">Had a primary or secondary diagnosis of renal cancer (ICD 10: C64)</w:t>
      </w:r>
    </w:p>
    <w:p>
      <w:pPr>
        <w:numPr>
          <w:ilvl w:val="1"/>
          <w:numId w:val="1002"/>
        </w:numPr>
      </w:pPr>
      <w:r>
        <w:t xml:space="preserve">Information for UTI (ICD 10: N10, N11, N12, N30, N39.0) was not missing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Primary Outcomes</w:t>
      </w:r>
      <w:r>
        <w:t xml:space="preserve">:</w:t>
      </w:r>
    </w:p>
    <w:p>
      <w:pPr>
        <w:numPr>
          <w:ilvl w:val="1"/>
          <w:numId w:val="1003"/>
        </w:numPr>
      </w:pPr>
      <w:r>
        <w:t xml:space="preserve">In-hospital all-cause mortality</w:t>
      </w:r>
    </w:p>
    <w:p>
      <w:pPr>
        <w:numPr>
          <w:ilvl w:val="1"/>
          <w:numId w:val="1003"/>
        </w:numPr>
      </w:pPr>
      <w:r>
        <w:t xml:space="preserve">Total hospital length of stay (days)</w:t>
      </w:r>
    </w:p>
    <w:p>
      <w:pPr>
        <w:numPr>
          <w:ilvl w:val="1"/>
          <w:numId w:val="1003"/>
        </w:numPr>
      </w:pPr>
      <w:r>
        <w:t xml:space="preserve">Total charge, inflation adjusted to 2021 ($)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Secondary Outcomes</w:t>
      </w:r>
      <w:r>
        <w:t xml:space="preserve">:</w:t>
      </w:r>
    </w:p>
    <w:p>
      <w:pPr>
        <w:numPr>
          <w:ilvl w:val="1"/>
          <w:numId w:val="1004"/>
        </w:numPr>
      </w:pPr>
      <w:r>
        <w:t xml:space="preserve">Acute kidney injury</w:t>
      </w:r>
    </w:p>
    <w:p>
      <w:pPr>
        <w:numPr>
          <w:ilvl w:val="1"/>
          <w:numId w:val="1004"/>
        </w:numPr>
      </w:pPr>
      <w:r>
        <w:t xml:space="preserve">Requiring renal replacement therapy</w:t>
      </w:r>
    </w:p>
    <w:p>
      <w:pPr>
        <w:numPr>
          <w:ilvl w:val="1"/>
          <w:numId w:val="1004"/>
        </w:numPr>
      </w:pPr>
      <w:r>
        <w:t xml:space="preserve">Respiratory failure</w:t>
      </w:r>
    </w:p>
    <w:p>
      <w:pPr>
        <w:numPr>
          <w:ilvl w:val="1"/>
          <w:numId w:val="1004"/>
        </w:numPr>
      </w:pPr>
      <w:r>
        <w:t xml:space="preserve">Requiring mechanical ventilation</w:t>
      </w:r>
    </w:p>
    <w:p>
      <w:pPr>
        <w:numPr>
          <w:ilvl w:val="1"/>
          <w:numId w:val="1004"/>
        </w:numPr>
      </w:pPr>
      <w:r>
        <w:t xml:space="preserve">Non-home discharge</w:t>
      </w:r>
    </w:p>
    <w:p>
      <w:pPr>
        <w:numPr>
          <w:ilvl w:val="1"/>
          <w:numId w:val="1004"/>
        </w:numPr>
      </w:pPr>
      <w:r>
        <w:t xml:space="preserve">Sepsis</w:t>
      </w:r>
    </w:p>
    <w:p>
      <w:pPr>
        <w:numPr>
          <w:ilvl w:val="1"/>
          <w:numId w:val="1004"/>
        </w:numPr>
      </w:pPr>
      <w:r>
        <w:t xml:space="preserve">Septic shock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 for Adjustment:</w:t>
      </w:r>
      <w:r>
        <w:t xml:space="preserve"> </w:t>
      </w:r>
      <w:r>
        <w:t xml:space="preserve">All models adjusted for the following</w:t>
      </w:r>
    </w:p>
    <w:p>
      <w:pPr>
        <w:numPr>
          <w:ilvl w:val="1"/>
          <w:numId w:val="1005"/>
        </w:numPr>
      </w:pPr>
      <w:r>
        <w:t xml:space="preserve">Demographics: Age, sex, race, income, insurance, admission type, weekend admission, location of patient’s residence, hospital region, hospital bedsize, hospital location, and teaching status.</w:t>
      </w:r>
    </w:p>
    <w:p>
      <w:pPr>
        <w:numPr>
          <w:ilvl w:val="1"/>
          <w:numId w:val="1005"/>
        </w:numPr>
      </w:pPr>
      <w:r>
        <w:t xml:space="preserve">Medical History: Hypertension, diabetes mellitus, chronic kidney disease, heart failure, chronic pulmonary disease, liver disease, obesity, peripheral vascular disease.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Univariable Analysis:</w:t>
      </w:r>
    </w:p>
    <w:p>
      <w:pPr>
        <w:numPr>
          <w:ilvl w:val="2"/>
          <w:numId w:val="1007"/>
        </w:numPr>
      </w:pPr>
      <w:r>
        <w:t xml:space="preserve">Categorical variables: Compared using Pearson’s chi-square test with Rao &amp; Scott adjustment</w:t>
      </w:r>
    </w:p>
    <w:p>
      <w:pPr>
        <w:numPr>
          <w:ilvl w:val="2"/>
          <w:numId w:val="1007"/>
        </w:numPr>
      </w:pPr>
      <w:r>
        <w:t xml:space="preserve">Continuous variables: Analyzed using the design-based Kruskal–Wallis test, a non-parametric alternative suitable for survey-weighted data</w:t>
      </w:r>
    </w:p>
    <w:p>
      <w:pPr>
        <w:numPr>
          <w:ilvl w:val="1"/>
          <w:numId w:val="1006"/>
        </w:numPr>
      </w:pPr>
      <w:r>
        <w:rPr>
          <w:b/>
          <w:bCs/>
        </w:rPr>
        <w:t xml:space="preserve">Multivariable Analysis:</w:t>
      </w:r>
    </w:p>
    <w:p>
      <w:pPr>
        <w:numPr>
          <w:ilvl w:val="2"/>
          <w:numId w:val="1008"/>
        </w:numPr>
      </w:pPr>
      <w:r>
        <w:t xml:space="preserve">Binary outcomes (e.g., mortality): Survey-weighted logistic regression using the</w:t>
      </w:r>
      <w:r>
        <w:t xml:space="preserve"> </w:t>
      </w:r>
      <w:r>
        <w:rPr>
          <w:rStyle w:val="VerbatimChar"/>
        </w:rPr>
        <w:t xml:space="preserve">quasibinomial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Continuous outcomes (e.g., LOS, hospital charges): Survey-weighted linear regression using the</w:t>
      </w:r>
      <w:r>
        <w:t xml:space="preserve"> </w:t>
      </w:r>
      <w:r>
        <w:rPr>
          <w:rStyle w:val="VerbatimChar"/>
        </w:rPr>
        <w:t xml:space="preserve">gaussian</w:t>
      </w:r>
      <w:r>
        <w:t xml:space="preserve"> </w:t>
      </w:r>
      <w:r>
        <w:t xml:space="preserve">family</w:t>
      </w:r>
    </w:p>
    <w:p>
      <w:pPr>
        <w:numPr>
          <w:ilvl w:val="2"/>
          <w:numId w:val="1008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statistical analyses were performed using the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20"/>
    <w:bookmarkStart w:id="23" w:name="descriptive-analysis"/>
    <w:p>
      <w:pPr>
        <w:pStyle w:val="Heading2"/>
      </w:pPr>
      <w:r>
        <w:t xml:space="preserve">Descriptive analysis</w:t>
      </w:r>
    </w:p>
    <w:bookmarkStart w:id="21" w:name="baseline-characteristics"/>
    <w:p>
      <w:pPr>
        <w:pStyle w:val="Heading3"/>
      </w:pPr>
      <w:r>
        <w:t xml:space="preserve">Baseline Characteristics: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urinary tract infection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329,355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urinary tract infection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34,335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 (57, 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 (64, 81)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110,475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16,955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218,845 (66%)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17,380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230,180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23,845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38,880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4,065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33,720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3,870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18,905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1,875 (5.6%)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286,240 (87%)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26,655 (78%)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43,095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7,680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153,915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3,540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175,135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30,785 (90%)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86,445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10,305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86,705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8,945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80,355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7,925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70,770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6,640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111,575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6,555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29,410 (8.9%)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2,590 (7.6%)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178,965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24,350 (71%)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9,025 (2.7%)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800 (2.3%)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75,520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7,080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59,840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5,685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131,735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14,705 (43%)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62,260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6,865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186,445 (57%)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17,450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84,255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9,885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58,655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7,000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17,460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2,935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47,785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6,555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264,110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24,845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66,275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7,970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66,570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8,455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49,775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7,800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99,375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13,625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21,690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2,855 (8.3%)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62,435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6,770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16,590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2,090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64,545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5,675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(Q1, Q3); n (%)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21"/>
    <w:bookmarkStart w:id="22" w:name="outcomes-table"/>
    <w:p>
      <w:pPr>
        <w:pStyle w:val="Heading3"/>
      </w:pPr>
      <w:r>
        <w:t xml:space="preserve">Outcomes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without urinary tract infection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329,355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with urinary tract infection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34,335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Died during hospitalization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11,590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1,985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 (2.0,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 (3.0, 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57,261 (34,195, 97,082)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53,011 (28,753, 103,655)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kidney injury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81,080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15,665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requiring renal replacement therapy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17,135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1,765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Respiratory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39,510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5,785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 requiring mechanical ventilation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9,190 (2.8%)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1,610 (4.7%)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22,830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10,555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Septic shock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6,670 (2.0%)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2,435 (7.1%)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Non-home discharge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58,070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12,745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2"/>
    <w:bookmarkEnd w:id="23"/>
    <w:bookmarkStart w:id="32" w:name="multivariable-logistic-regression"/>
    <w:p>
      <w:pPr>
        <w:pStyle w:val="Heading2"/>
      </w:pPr>
      <w:r>
        <w:t xml:space="preserve">Multivariable Logistic Regression:</w:t>
      </w:r>
    </w:p>
    <w:bookmarkStart w:id="24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renal cell carcinoma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1.45, 2.22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4.31, 5.89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1.36, 1.73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2.17, 2.81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4"/>
    <w:bookmarkStart w:id="25" w:name="acute-kidney-injury"/>
    <w:p>
      <w:pPr>
        <w:pStyle w:val="Heading3"/>
      </w:pPr>
      <w:r>
        <w:t xml:space="preserve">Acute Kidney Injury: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renal cell carcinoma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1.80, 2.01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1.39, 1.51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2.15, 2.37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2.50, 2.81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renal-replacement-therapy"/>
    <w:p>
      <w:pPr>
        <w:pStyle w:val="Heading3"/>
      </w:pPr>
      <w:r>
        <w:t xml:space="preserve">Renal Replacement Therapy: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renal cell carcinoma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2.51, 3.06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1.47, 1.90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1.43, 1.98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1.93, 2.45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1.41, 2.26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1.62, 2.50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1.35, 1.71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2.31, 2.96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22.0, 31.0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1.52, 2.01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respiratory-failure"/>
    <w:p>
      <w:pPr>
        <w:pStyle w:val="Heading3"/>
      </w:pPr>
      <w:r>
        <w:t xml:space="preserve">Respiratory Failure: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renal cell carcinoma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1.22, 1.64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3.90, 4.49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2.55, 2.92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2.49, 2.77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mechanical-ventilation"/>
    <w:p>
      <w:pPr>
        <w:pStyle w:val="Heading3"/>
      </w:pPr>
      <w:r>
        <w:t xml:space="preserve">Mechanical Ventilation: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renal cell carcinoma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2.70, 3.55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0.66, 0.86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1.37, 2.15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1.85, 2.40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1.28, 1.58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2.21, 2.89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8"/>
    <w:bookmarkStart w:id="29" w:name="sepsis"/>
    <w:p>
      <w:pPr>
        <w:pStyle w:val="Heading3"/>
      </w:pPr>
      <w:r>
        <w:t xml:space="preserve">Sepsis: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renal cell carcinoma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3.64, 4.14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1.11, 1.26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9.68, 12.2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1.10, 1.30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1.41, 1.74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9"/>
    <w:bookmarkStart w:id="30" w:name="septic-shock"/>
    <w:p>
      <w:pPr>
        <w:pStyle w:val="Heading3"/>
      </w:pPr>
      <w:r>
        <w:t xml:space="preserve">Septic Shock: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renal cell carcinoma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2.23, 2.81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1.21, 2.15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6.60, 9.98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1.23, 1.95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1.51, 2.02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2.07, 2.78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0.57, 0.77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0"/>
    <w:bookmarkStart w:id="31" w:name="non-home-discharge"/>
    <w:p>
      <w:pPr>
        <w:pStyle w:val="Heading3"/>
      </w:pPr>
      <w:r>
        <w:t xml:space="preserve">Non-Home Discharge: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renal cell carcinoma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1.47, 1.66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1.36, 1.61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1.46, 1.90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4.12, 4.63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0.73, 0.87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1.26, 1.43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1.44, 1.71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31"/>
    <w:bookmarkEnd w:id="32"/>
    <w:bookmarkStart w:id="35" w:name="multivariable-linear-regression"/>
    <w:p>
      <w:pPr>
        <w:pStyle w:val="Heading2"/>
      </w:pPr>
      <w:r>
        <w:t xml:space="preserve">Multivariable Linear Regression:</w:t>
      </w:r>
    </w:p>
    <w:bookmarkStart w:id="33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renal cell carcinoma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1.7, 2.2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-0.10, 0.22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-0.20, 0.07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-0.19, 0.08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-0.33, 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0.16, 0.41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0.00, 0.31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2.0, 2.2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0.23, 0.54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0.19, 0.43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-0.25, 0.06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-0.66, -0.42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-1.0, -0.73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1.1, 1.5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0.20, 0.61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1.2, 1.6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0.15, 0.53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-0.10, 0.31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0.05, 0.30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0.08, 0.32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3"/>
    <w:bookmarkStart w:id="34" w:name="total-hospital-charges"/>
    <w:p>
      <w:pPr>
        <w:pStyle w:val="Heading3"/>
      </w:pPr>
      <w:r>
        <w:t xml:space="preserve">Total hospital charges: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Patients with renal cell carcinoma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urinary tract infection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10,246, 17,674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7,315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5,740, 8,890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5,547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2,382, 8,712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9,550, 16,750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4,327, 13,930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-330, -170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Residential income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$1 - $51,999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$52,000 - $65,999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-777, 3,807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$66,000 - $87,999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-229, 4,665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$88,000 or more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2,942, 9,105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Insurance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3,170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-437, 6,777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874, 5,284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-4,707, 7,359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Weekend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Monday-Friday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Saturday-Sunday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-2,684, 2,670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of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-3,495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-5,601, -1,389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10,627, 18,725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14,532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11,691, 17,373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39,378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34,179, 44,577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-10,212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-13,380, -7,044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-22,087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-25,167, -19,007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32,380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29,196, 35,563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38,200, 43,450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9,585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5,849, 13,321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330, 4,159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15,247, 22,202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-3,694, 3,156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2,059, 9,707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-633, 3,395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21,934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16,510, 27,357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6,825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4,762, 8,889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of Urinary Tract Infections on In-Hospital Outcomes Among Renal Cell Carcinoma Patients: A National Inpatient Sample Study</dc:title>
  <dc:creator>Eliza Aisha</dc:creator>
  <cp:keywords/>
  <dcterms:created xsi:type="dcterms:W3CDTF">2026-01-12T12:13:26Z</dcterms:created>
  <dcterms:modified xsi:type="dcterms:W3CDTF">2026-01-12T12:13:26Z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