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Urban-Rural Disparities in Stroke Management and Outcomes Among Patients with Atrial Fibrillation</w:t>
      </w:r>
    </w:p>
    <w:p>
      <w:pPr>
        <w:pStyle w:val="Subtitle"/>
      </w:pPr>
      <w:r>
        <w:t xml:space="preserve">Analysis for RCOP group NIS-Sep-Cardio5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impact of urbanization (urban vs. rural)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mechanical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place of residence with in-hospital mortality, utilization of mechanical thrombectomy, intracranial hemorrhage,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30,410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149,365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256,185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205,640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22,630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76,615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134,515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106,945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187,610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265,305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231,850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305,745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52,005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253,740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125,805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21,970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103,835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213,360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34,660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178,700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110,960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90,755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115,550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69,560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64,135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34,070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96,430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60,183 (74,360)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87,201 (113,728)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intracranial-hemorrhage"/>
    <w:p>
      <w:pPr>
        <w:pStyle w:val="Heading3"/>
      </w:pPr>
      <w:r>
        <w:t xml:space="preserve">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2.95, 4.40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utilization-of-mechanical-thrombectomy"/>
    <w:p>
      <w:pPr>
        <w:pStyle w:val="Heading3"/>
      </w:pPr>
      <w:r>
        <w:t xml:space="preserve">Utilization of Mechanical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3.40, 18.3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11.0, 56.7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5,942, 11,906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-5,854, -755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-6,202, -146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-3,240, 4,892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15,288, 31,778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-1,596, 4,466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-12,227, 577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-685, -474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300, 3,538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13,403, 32,506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4,016, 11,281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27,750, 39,909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-27,027, -9,403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24,480, 42,165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6,815, 8,102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14,559, 23,685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13,411, 19,735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34,198, 44,036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-16,377, -8,913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-28,285, -20,327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17,827, 27,277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33,247, 39,829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-11,352, -4,917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-10,854, -6,689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-5,231, -1,531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-3,436, 403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-6,866, -1,280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731, 4,815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-25,067, -20,095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-10,068, -5,958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-16,423, -12,489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2,415, 21,715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1,014, 5,989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-7,349, -3,534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-7,869, -2,930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-7,579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40,741, 46,003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Urban-Rural Disparities in Stroke Management and Outcomes Among Patients with Atrial Fibrillation</dc:title>
  <dc:creator>Eliza Aisha</dc:creator>
  <cp:keywords/>
  <dcterms:created xsi:type="dcterms:W3CDTF">2025-05-23T20:25:42Z</dcterms:created>
  <dcterms:modified xsi:type="dcterms:W3CDTF">2025-05-23T20:25:42Z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NIS-Sep-Cardio5</vt:lpwstr>
  </property>
  <property fmtid="{D5CDD505-2E9C-101B-9397-08002B2CF9AE}" pid="12" name="toc-title">
    <vt:lpwstr>Table of contents</vt:lpwstr>
  </property>
</Properties>
</file>