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Transcather</w:t>
      </w:r>
      <w:r>
        <w:t xml:space="preserve"> </w:t>
      </w:r>
      <w:r>
        <w:t xml:space="preserve">vs</w:t>
      </w:r>
      <w:r>
        <w:t xml:space="preserve"> </w:t>
      </w:r>
      <w:r>
        <w:t xml:space="preserve">Surgical</w:t>
      </w:r>
      <w:r>
        <w:t xml:space="preserve"> </w:t>
      </w:r>
      <w:r>
        <w:t xml:space="preserve">Aortic</w:t>
      </w:r>
      <w:r>
        <w:t xml:space="preserve"> </w:t>
      </w:r>
      <w:r>
        <w:t xml:space="preserve">Valve</w:t>
      </w:r>
      <w:r>
        <w:t xml:space="preserve"> </w:t>
      </w:r>
      <w:r>
        <w:t xml:space="preserve">Replacement</w:t>
      </w:r>
      <w:r>
        <w:t xml:space="preserve"> </w:t>
      </w:r>
      <w:r>
        <w:t xml:space="preserve">in</w:t>
      </w:r>
      <w:r>
        <w:t xml:space="preserve"> </w:t>
      </w:r>
      <w:r>
        <w:t xml:space="preserve">Young</w:t>
      </w:r>
      <w:r>
        <w:t xml:space="preserve"> </w:t>
      </w:r>
      <w:r>
        <w:t xml:space="preserve">Adults</w:t>
      </w:r>
      <w:r>
        <w:t xml:space="preserve"> </w:t>
      </w:r>
      <w:r>
        <w:t xml:space="preserve">with</w:t>
      </w:r>
      <w:r>
        <w:t xml:space="preserve"> </w:t>
      </w:r>
      <w:r>
        <w:t xml:space="preserve">Chronic</w:t>
      </w:r>
      <w:r>
        <w:t xml:space="preserve"> </w:t>
      </w:r>
      <w:r>
        <w:t xml:space="preserve">Kidney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Examine in-hospital outcomes in young adults with CKD undergoing TAVR or SAVR.</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Included inpatient admissions (age&lt;65) with CKD undergoing aortic valve replacement.</w:t>
      </w:r>
    </w:p>
    <w:p>
      <w:pPr>
        <w:numPr>
          <w:ilvl w:val="0"/>
          <w:numId w:val="1001"/>
        </w:numPr>
      </w:pPr>
      <w:r>
        <w:rPr>
          <w:b/>
          <w:bCs/>
        </w:rPr>
        <w:t xml:space="preserve">Primary Outcomes</w:t>
      </w:r>
      <w:r>
        <w:t xml:space="preserve">:</w:t>
      </w:r>
    </w:p>
    <w:p>
      <w:pPr>
        <w:pStyle w:val="Compact"/>
        <w:numPr>
          <w:ilvl w:val="1"/>
          <w:numId w:val="1002"/>
        </w:numPr>
      </w:pPr>
      <w:r>
        <w:t xml:space="preserve">In-hospital mortality</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Secondary Outcomes</w:t>
      </w:r>
      <w:r>
        <w:t xml:space="preserve">:</w:t>
      </w:r>
    </w:p>
    <w:p>
      <w:pPr>
        <w:pStyle w:val="Compact"/>
        <w:numPr>
          <w:ilvl w:val="1"/>
          <w:numId w:val="1003"/>
        </w:numPr>
      </w:pPr>
      <w:r>
        <w:t xml:space="preserve">Cardiogenic shock</w:t>
      </w:r>
    </w:p>
    <w:p>
      <w:pPr>
        <w:pStyle w:val="Compact"/>
        <w:numPr>
          <w:ilvl w:val="1"/>
          <w:numId w:val="1003"/>
        </w:numPr>
      </w:pPr>
      <w:r>
        <w:t xml:space="preserve">Major bleeding</w:t>
      </w:r>
    </w:p>
    <w:p>
      <w:pPr>
        <w:pStyle w:val="Compact"/>
        <w:numPr>
          <w:ilvl w:val="1"/>
          <w:numId w:val="1003"/>
        </w:numPr>
      </w:pPr>
      <w:r>
        <w:t xml:space="preserve">Venous thromboembolism</w:t>
      </w:r>
    </w:p>
    <w:p>
      <w:pPr>
        <w:pStyle w:val="Compact"/>
        <w:numPr>
          <w:ilvl w:val="1"/>
          <w:numId w:val="1003"/>
        </w:numPr>
      </w:pPr>
      <w:r>
        <w:t xml:space="preserve">Acute kidney injury</w:t>
      </w:r>
    </w:p>
    <w:p>
      <w:pPr>
        <w:pStyle w:val="Compact"/>
        <w:numPr>
          <w:ilvl w:val="1"/>
          <w:numId w:val="1003"/>
        </w:numPr>
      </w:pPr>
      <w:r>
        <w:t xml:space="preserve">Acute myocardial infarction</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young adults undergoing aortic valve replacement, respectively, adjusted for:</w:t>
      </w:r>
    </w:p>
    <w:p>
      <w:pPr>
        <w:numPr>
          <w:ilvl w:val="1"/>
          <w:numId w:val="1004"/>
        </w:numPr>
      </w:pPr>
      <w:r>
        <w:t xml:space="preserve">Demographics: Age, sex, race, residential income, insurance, hospital region, hospital bedsize, hospital location, and teaching status.</w:t>
      </w:r>
    </w:p>
    <w:p>
      <w:pPr>
        <w:numPr>
          <w:ilvl w:val="1"/>
          <w:numId w:val="1004"/>
        </w:numPr>
      </w:pPr>
      <w:r>
        <w:t xml:space="preserve">Medical History: Hypertension, diabetes mellitus, coronary artery disease, liver disease, atrial fibrillation, heart failure, chronic obstructive pulmonary disease, obesity, tobacco use disorder, prior stroke, prior MI</w:t>
      </w:r>
    </w:p>
    <w:p>
      <w:pPr>
        <w:numPr>
          <w:ilvl w:val="1"/>
          <w:numId w:val="1004"/>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(52,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8,090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235,534 (164,420, 382,600)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259,123 (173,371, 425,177)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207,507 (151,560, 306,436)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32"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0.55, 8.48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3,343,591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725,670, 15,405,899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1,434,221, 17,057,521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3,492,493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1,398,487, 8,721,931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2,149,139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1,131,614, 4,081,599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2,386,538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628,869, 9,056,833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2,533,485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1,066,706, 6,017,168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9,481,463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3,771,525, 23,836,020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7,578,977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3,997,187, 14,370,331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End w:id="32"/>
    <w:bookmarkStart w:id="35" w:name="multivariable-linear-regression"/>
    <w:p>
      <w:pPr>
        <w:pStyle w:val="Heading2"/>
      </w:pPr>
      <w:r>
        <w:t xml:space="preserve">Multivariable Linear Regression:</w:t>
      </w:r>
    </w:p>
    <w:bookmarkStart w:id="33"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3"/>
    <w:bookmarkStart w:id="34" w:name="total-hospital-charges"/>
    <w:p>
      <w:pPr>
        <w:pStyle w:val="Heading3"/>
      </w:pPr>
      <w:r>
        <w:t xml:space="preserve">Total hospital charges: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-128,235, -79,275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-52,411, 2,470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-86,841, 133,723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10,931, 81,602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-3,483, 90,951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-125,234, 18,827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-23,935, 154,725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-29,912, 20,965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-28,087, 32,772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-17,348, 71,863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3,704, 92,021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-3,509, 55,466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-45,470, 66,749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-37,093, 65,313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12,762, 106,303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-12,811, 82,469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-87,606, -19,186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60,814, 185,472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16,726, 92,068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-71,623, -8,109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2,490, 88,630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-44,506, 11,025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-68,148, 4,704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21,999, 157,932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23,308, 127,694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-82,936, 27,150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-78,493, -10,697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-29,569, 15,728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32,543, 88,936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4,453, 29,109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-39,927, 33,422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-14,493, 32,784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-70,594, -28,437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-164,012, 2,360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-70,464, -6,558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57,070, 177,614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-11,267, 53,074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-65,145, -7,402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Transcather vs Surgical Aortic Valve Replacement in Young Adults with Chronic Kidney Disease</dc:title>
  <dc:creator>Eliza Aisha</dc:creator>
  <cp:keywords/>
  <dcterms:created xsi:type="dcterms:W3CDTF">2024-11-24T08:22:46Z</dcterms:created>
  <dcterms:modified xsi:type="dcterms:W3CDTF">2024-11-24T08:22:46Z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