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Transcather</w:t>
      </w:r>
      <w:r>
        <w:t xml:space="preserve"> </w:t>
      </w:r>
      <w:r>
        <w:t xml:space="preserve">vs</w:t>
      </w:r>
      <w:r>
        <w:t xml:space="preserve"> </w:t>
      </w:r>
      <w:r>
        <w:t xml:space="preserve">Surgical</w:t>
      </w:r>
      <w:r>
        <w:t xml:space="preserve"> </w:t>
      </w:r>
      <w:r>
        <w:t xml:space="preserve">Aortic</w:t>
      </w:r>
      <w:r>
        <w:t xml:space="preserve"> </w:t>
      </w:r>
      <w:r>
        <w:t xml:space="preserve">Valve</w:t>
      </w:r>
      <w:r>
        <w:t xml:space="preserve"> </w:t>
      </w:r>
      <w:r>
        <w:t xml:space="preserve">Replacement</w:t>
      </w:r>
      <w:r>
        <w:t xml:space="preserve"> </w:t>
      </w:r>
      <w:r>
        <w:t xml:space="preserve">in</w:t>
      </w:r>
      <w:r>
        <w:t xml:space="preserve"> </w:t>
      </w:r>
      <w:r>
        <w:t xml:space="preserve">young</w:t>
      </w:r>
      <w:r>
        <w:t xml:space="preserve"> </w:t>
      </w:r>
      <w:r>
        <w:t xml:space="preserve">adults</w:t>
      </w:r>
      <w:r>
        <w:t xml:space="preserve"> </w:t>
      </w:r>
      <w:r>
        <w:t xml:space="preserve">with</w:t>
      </w:r>
      <w:r>
        <w:t xml:space="preserve"> </w:t>
      </w:r>
      <w:r>
        <w:t xml:space="preserve">Chronic</w:t>
      </w:r>
      <w:r>
        <w:t xml:space="preserve"> </w:t>
      </w:r>
      <w:r>
        <w:t xml:space="preserve">Kidney</w:t>
      </w:r>
      <w:r>
        <w:t xml:space="preserve"> </w:t>
      </w:r>
      <w:r>
        <w:t xml:space="preserve">Disease</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group</w:t>
      </w:r>
    </w:p>
    <w:p>
      <w:pPr>
        <w:pStyle w:val="Author"/>
      </w:pPr>
      <w:r>
        <w:t xml:space="preserve">Eliza</w:t>
      </w:r>
      <w:r>
        <w:t xml:space="preserve"> </w:t>
      </w:r>
      <w:r>
        <w:t xml:space="preserve">Aisha</w:t>
      </w:r>
    </w:p>
    <w:bookmarkStart w:id="20" w:name="preamble"/>
    <w:p>
      <w:pPr>
        <w:pStyle w:val="Heading2"/>
      </w:pPr>
      <w:r>
        <w:t xml:space="preserve">Preamble:</w:t>
      </w:r>
    </w:p>
    <w:p>
      <w:pPr>
        <w:numPr>
          <w:ilvl w:val="0"/>
          <w:numId w:val="1001"/>
        </w:numPr>
      </w:pPr>
      <w:r>
        <w:rPr>
          <w:b/>
          <w:bCs/>
        </w:rPr>
        <w:t xml:space="preserve">Study Objective</w:t>
      </w:r>
      <w:r>
        <w:t xml:space="preserve">: Examine in-hospital outcomes in young adults with CKD undergoing TAVR or SAVR.</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Population</w:t>
      </w:r>
      <w:r>
        <w:t xml:space="preserve">: Included inpatient admissions (age&lt;65) with CKD undergoing aortic valve replacement.</w:t>
      </w:r>
    </w:p>
    <w:p>
      <w:pPr>
        <w:numPr>
          <w:ilvl w:val="0"/>
          <w:numId w:val="1001"/>
        </w:numPr>
      </w:pPr>
      <w:r>
        <w:rPr>
          <w:b/>
          <w:bCs/>
        </w:rPr>
        <w:t xml:space="preserve">Primary Outcomes</w:t>
      </w:r>
      <w:r>
        <w:t xml:space="preserve">:</w:t>
      </w:r>
    </w:p>
    <w:p>
      <w:pPr>
        <w:pStyle w:val="Compact"/>
        <w:numPr>
          <w:ilvl w:val="1"/>
          <w:numId w:val="1002"/>
        </w:numPr>
      </w:pPr>
      <w:r>
        <w:t xml:space="preserve">In-hospital mortality</w:t>
      </w:r>
    </w:p>
    <w:p>
      <w:pPr>
        <w:pStyle w:val="Compact"/>
        <w:numPr>
          <w:ilvl w:val="1"/>
          <w:numId w:val="1002"/>
        </w:numPr>
      </w:pPr>
      <w:r>
        <w:t xml:space="preserve">Cardiogenic shock</w:t>
      </w:r>
    </w:p>
    <w:p>
      <w:pPr>
        <w:pStyle w:val="Compact"/>
        <w:numPr>
          <w:ilvl w:val="1"/>
          <w:numId w:val="1002"/>
        </w:numPr>
      </w:pPr>
      <w:r>
        <w:t xml:space="preserve">Major bleeding</w:t>
      </w:r>
    </w:p>
    <w:p>
      <w:pPr>
        <w:pStyle w:val="Compact"/>
        <w:numPr>
          <w:ilvl w:val="1"/>
          <w:numId w:val="1002"/>
        </w:numPr>
      </w:pPr>
      <w:r>
        <w:t xml:space="preserve">Venous thromboembolism</w:t>
      </w:r>
    </w:p>
    <w:p>
      <w:pPr>
        <w:pStyle w:val="Compact"/>
        <w:numPr>
          <w:ilvl w:val="1"/>
          <w:numId w:val="1002"/>
        </w:numPr>
      </w:pPr>
      <w:r>
        <w:t xml:space="preserve">Acute kidney injury</w:t>
      </w:r>
    </w:p>
    <w:p>
      <w:pPr>
        <w:pStyle w:val="Compact"/>
        <w:numPr>
          <w:ilvl w:val="1"/>
          <w:numId w:val="1002"/>
        </w:numPr>
      </w:pPr>
      <w:r>
        <w:t xml:space="preserve">Acute myocardial infarction</w:t>
      </w:r>
    </w:p>
    <w:p>
      <w:pPr>
        <w:pStyle w:val="Compact"/>
        <w:numPr>
          <w:ilvl w:val="1"/>
          <w:numId w:val="1002"/>
        </w:numPr>
      </w:pPr>
      <w:r>
        <w:t xml:space="preserve">Total hospital charges</w:t>
      </w:r>
    </w:p>
    <w:p>
      <w:pPr>
        <w:pStyle w:val="Compact"/>
        <w:numPr>
          <w:ilvl w:val="1"/>
          <w:numId w:val="1002"/>
        </w:numPr>
      </w:pPr>
      <w:r>
        <w:t xml:space="preserve">Length of stay</w:t>
      </w:r>
    </w:p>
    <w:p>
      <w:pPr>
        <w:numPr>
          <w:ilvl w:val="0"/>
          <w:numId w:val="1001"/>
        </w:numPr>
      </w:pPr>
      <w:r>
        <w:rPr>
          <w:b/>
          <w:bCs/>
        </w:rPr>
        <w:t xml:space="preserve">Statistical Analysis</w:t>
      </w:r>
      <w:r>
        <w:t xml:space="preserve">: Descriptive statistics for variables of interest are present as frequency and percentage of total admissions. Comparative statistics between patient groups was performed. Multiple logistic and linear regression was performed to identify variables independently associated with outcomes in young adults undergoing aortic valve replacement, respectively, adjusted for:</w:t>
      </w:r>
    </w:p>
    <w:p>
      <w:pPr>
        <w:numPr>
          <w:ilvl w:val="1"/>
          <w:numId w:val="1003"/>
        </w:numPr>
      </w:pPr>
      <w:r>
        <w:t xml:space="preserve">Demographics: Age, sex, race, residential income, insurance, hospital region, hospital bedsize, hospital location, and teaching status.</w:t>
      </w:r>
    </w:p>
    <w:p>
      <w:pPr>
        <w:numPr>
          <w:ilvl w:val="1"/>
          <w:numId w:val="1003"/>
        </w:numPr>
      </w:pPr>
      <w:r>
        <w:t xml:space="preserve">Medical History: Hypertension, diabetes mellitus, coronary artery disease, liver disease, atrial fibrillation, heart failure, chronic obstructive pulmonary disease, obesity, tobacco use disorder, prior stroke, prior MI</w:t>
      </w:r>
    </w:p>
    <w:p>
      <w:pPr>
        <w:numPr>
          <w:ilvl w:val="1"/>
          <w:numId w:val="1003"/>
        </w:numPr>
      </w:pPr>
      <w:r>
        <w:t xml:space="preserve">Comorbidities: Charlson comorbidity index.</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0"/>
    <w:bookmarkStart w:id="23" w:name="descriptive-analysis"/>
    <w:p>
      <w:pPr>
        <w:pStyle w:val="Heading2"/>
      </w:pPr>
      <w:r>
        <w:t xml:space="preserve">Descriptive analysis</w:t>
      </w:r>
    </w:p>
    <w:bookmarkStart w:id="21" w:name="baseline-characteristics"/>
    <w:p>
      <w:pPr>
        <w:pStyle w:val="Heading3"/>
      </w:pPr>
      <w:r>
        <w:t xml:space="preserve">Baseline Characteristics: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11,315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SAVR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7,450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TAVR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3,865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(54,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(52,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(57,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8,090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5,570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4,945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975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365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8,295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5,345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905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CKD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11,315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7,450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6,690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3,615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8,130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2,410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685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(4.00, 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(3.00,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(4.00, 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1"/>
    <w:bookmarkStart w:id="22" w:name="outcomes-table"/>
    <w:p>
      <w:pPr>
        <w:pStyle w:val="Heading3"/>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11,315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SAVR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7,450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TAVR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3,865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235,534 (164,420, 382,600)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259,123 (173,371, 425,177)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207,507 (151,560, 306,436)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Major bleeding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1,065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365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ischemic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Cardiogenic shock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kidney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4,180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Venous thromboembolism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2"/>
    <w:bookmarkEnd w:id="23"/>
    <w:bookmarkStart w:id="32" w:name="multivariable-logistic-regression"/>
    <w:p>
      <w:pPr>
        <w:pStyle w:val="Heading2"/>
      </w:pPr>
      <w:r>
        <w:t xml:space="preserve">Multivariable Logistic Regression:</w:t>
      </w:r>
    </w:p>
    <w:bookmarkStart w:id="24" w:name="in-hospital-mortality"/>
    <w:p>
      <w:pPr>
        <w:pStyle w:val="Heading3"/>
      </w:pPr>
      <w:r>
        <w:t xml:space="preserve">In-hospital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0.18, 6.39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0.46, 4.24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0.55, 8.48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0.74, 5.66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3,343,591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725,670, 15,405,899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4,946,136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1,434,221, 17,057,521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1.39, 6.56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4.62, 18.6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0.59, 3.51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4"/>
    <w:bookmarkStart w:id="25" w:name="major-bleeding"/>
    <w:p>
      <w:pPr>
        <w:pStyle w:val="Heading3"/>
      </w:pPr>
      <w:r>
        <w:t xml:space="preserve">Major bleeding: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0.38, 3.25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0.29, 9.18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4.29, 8.98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5"/>
    <w:bookmarkStart w:id="26" w:name="acute-ischemic-stroke"/>
    <w:p>
      <w:pPr>
        <w:pStyle w:val="Heading3"/>
      </w:pPr>
      <w:r>
        <w:t xml:space="preserve">Acute ischemic 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0.84, 6.55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0.06, 3.61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0.81, 4.96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0.69, 2.99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3,492,493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1,398,487, 8,721,931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2,149,139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1,131,614, 4,081,599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0.97, 6.52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6"/>
    <w:bookmarkStart w:id="27" w:name="acute-kidney-injury"/>
    <w:p>
      <w:pPr>
        <w:pStyle w:val="Heading3"/>
      </w:pPr>
      <w:r>
        <w:t xml:space="preserve">Acute kidney injury: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1.46, 2.36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7"/>
    <w:bookmarkStart w:id="28" w:name="cardiogenic-shock"/>
    <w:p>
      <w:pPr>
        <w:pStyle w:val="Heading3"/>
      </w:pPr>
      <w:r>
        <w:t xml:space="preserve">Cardiogenic shock:</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0.12, 4.30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3.53, 9.96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0.21, 6.93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2.13, 4.74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8"/>
    <w:bookmarkStart w:id="29" w:name="cardiac-arrest"/>
    <w:p>
      <w:pPr>
        <w:pStyle w:val="Heading3"/>
      </w:pPr>
      <w:r>
        <w:t xml:space="preserve">Cardiac arrest: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0.55, 3.84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0.57, 3.66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0.79, 6.77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0.17, 3.41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0.06, 3.55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0.41, 3.38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0.78, 6.33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2,386,538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628,869, 9,056,833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2,533,485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1,066,706, 6,017,168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9"/>
    <w:bookmarkStart w:id="30" w:name="venous-thromboembolism"/>
    <w:p>
      <w:pPr>
        <w:pStyle w:val="Heading3"/>
      </w:pPr>
      <w:r>
        <w:t xml:space="preserve">Venous thromboembolism:</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0.43, 4.39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9,481,463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3,771,525, 23,836,020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7,578,977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3,997,187, 14,370,331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0.82, 3.09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30"/>
    <w:bookmarkStart w:id="31" w:name="acute-myocardial-infarction"/>
    <w:p>
      <w:pPr>
        <w:pStyle w:val="Heading3"/>
      </w:pPr>
      <w:r>
        <w:t xml:space="preserve">Acute myocardial infarction: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1.10, 5.06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0.60, 4.13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1.81, 3.99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31"/>
    <w:bookmarkEnd w:id="32"/>
    <w:bookmarkStart w:id="35" w:name="multivariable-linear-regression"/>
    <w:p>
      <w:pPr>
        <w:pStyle w:val="Heading2"/>
      </w:pPr>
      <w:r>
        <w:t xml:space="preserve">Multivariable Linear Regression:</w:t>
      </w:r>
    </w:p>
    <w:bookmarkStart w:id="33"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3"/>
    <w:bookmarkStart w:id="34" w:name="total-hospital-charges"/>
    <w:p>
      <w:pPr>
        <w:pStyle w:val="Heading3"/>
      </w:pPr>
      <w:r>
        <w:t xml:space="preserve">Total hospital charges: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TAVR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-128,235, -79,275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-52,411, 2,470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-86,841, 133,723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10,931, 81,602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-3,483, 90,951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-125,234, 18,827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65,395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-23,935, 154,725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-4,929, -580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-29,912, 20,965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-28,087, 32,772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-17,348, 71,863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47,863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3,704, 92,021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-3,509, 55,466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-45,470, 66,749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-37,093, 65,313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12,762, 106,303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-12,811, 82,469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-87,606, -19,186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60,814, 185,472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54,397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16,726, 92,068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-71,623, -8,109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2,490, 88,630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-44,506, 11,025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-68,148, 4,704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89,966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21,999, 157,932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23,308, 127,694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-82,936, 27,150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-78,493, -10,697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-29,569, 15,728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60,740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32,543, 88,936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4,453, 29,109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-39,927, 33,422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-14,493, 32,784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-49,515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-70,594, -28,437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-80,826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-164,012, 2,360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-70,464, -6,558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57,070, 177,614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coronary artery bypass graft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-11,267, 53,074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-65,145, -7,402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Transcather vs Surgical Aortic Valve Replacement in young adults with Chronic Kidney Disease</dc:title>
  <dc:creator>Eliza Aisha</dc:creator>
  <cp:keywords/>
  <dcterms:created xsi:type="dcterms:W3CDTF">2024-11-23T21:22:52Z</dcterms:created>
  <dcterms:modified xsi:type="dcterms:W3CDTF">2024-11-23T21:22:52Z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group</vt:lpwstr>
  </property>
  <property fmtid="{D5CDD505-2E9C-101B-9397-08002B2CF9AE}" pid="12" name="toc-title">
    <vt:lpwstr>Table of contents</vt:lpwstr>
  </property>
</Properties>
</file>