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Outcomes in HFrEF vs HFpEF in Patients with Iron Deficiency Anemia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Iron deficiency anemia.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Heart failure with reduced ejection fraction</w:t>
      </w:r>
    </w:p>
    <w:p>
      <w:pPr>
        <w:numPr>
          <w:ilvl w:val="1"/>
          <w:numId w:val="1002"/>
        </w:numPr>
      </w:pPr>
      <w:r>
        <w:t xml:space="preserve">Heart failure with preserved ejection fraction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 Codes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HFrEF = I50.2 and I50.4</w:t>
      </w:r>
    </w:p>
    <w:p>
      <w:pPr>
        <w:pStyle w:val="Compact"/>
        <w:numPr>
          <w:ilvl w:val="1"/>
          <w:numId w:val="1003"/>
        </w:numPr>
      </w:pPr>
      <w:r>
        <w:t xml:space="preserve">HFpEF = I50.3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520,885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425,405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330,210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186,740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190,655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238,655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354,990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258,350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10,010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8,290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94,210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100,970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37,305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35,570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10,755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7.94 (1.98)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7.91 (2.03)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160,825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146,185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137,745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111,610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121,180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92,425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94,155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67,050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254,220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225,295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150,660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115,580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116,005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84,530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47,500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33,265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92,605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69,685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380,780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322,455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58,710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61,025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42,755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54,060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411,755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301,790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148,350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113,875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102,585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72,805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190,475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164,665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79,475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479,320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382,430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299,290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240,825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67,155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102,640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234,725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159,285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220,005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240,850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53,610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35,555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255,665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210,930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140,640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124,005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198,540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160,570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25,660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19,450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16,930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78,885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10,070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9,900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11,610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9,965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14,625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44,780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82,540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83,995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70,565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77,805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64,350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31,470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25,145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7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520,885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425,405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15,395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16,390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74,877 (98,061)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92,846 (156,520)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Start w:id="23" w:name="multivariable-logistic-regression"/>
    <w:p>
      <w:pPr>
        <w:pStyle w:val="Heading3"/>
      </w:pPr>
      <w:r>
        <w:t xml:space="preserve">Multivariable Logistic Regression:</w:t>
      </w:r>
    </w:p>
    <w:bookmarkStart w:id="22" w:name="all-cause-mortality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2"/>
    <w:bookmarkEnd w:id="23"/>
    <w:bookmarkStart w:id="26" w:name="multivariable-linear-regression"/>
    <w:p>
      <w:pPr>
        <w:pStyle w:val="Heading3"/>
      </w:pPr>
      <w:r>
        <w:t xml:space="preserve">Multivariable Linear Regression:</w:t>
      </w:r>
    </w:p>
    <w:bookmarkStart w:id="24" w:name="length-of-stay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-0.85, 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-0.93, 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-0.85, 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4"/>
    <w:bookmarkStart w:id="25" w:name="inflation-adjusted-total-charge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10,983, 16,040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-716, -460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3,749, 8,079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6,595, 38,096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-6,303, -407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9,719, 20,445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-22,843, -5,345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6,059, 39,800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6,902, 9,113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-4,001, 1,370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-3,878, 2,500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2,311, 11,359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-13,964, -3,378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-8,911, -538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-8,491, 12,646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17,074, 29,498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10,816, 17,851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33,045, 46,020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-17,295, -9,335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-24,929, -17,224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22,078, 29,829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32,617, 39,246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-24,525, -14,919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-4,568, -271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-4,821, 2,115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5,909, 10,515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-12,089, -7,468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581, 6,628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-8,073, -1,628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-801, 7,601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20,144, 24,590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-2,314, 2,503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-8,351, -1,655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-3,655, 2,584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3,330, 12,912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3,356, 12,981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6,550, 16,152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-16,800, -9,173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-13,529, -7,946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-13,266, -8,170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-19,371, -13,650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 in HFrEF vs HFpEF in Patients with Iron Deficiency Anemia</dc:title>
  <dc:creator>Eliza Aisha</dc:creator>
  <cp:keywords/>
  <dcterms:created xsi:type="dcterms:W3CDTF">2025-05-24T07:59:26Z</dcterms:created>
  <dcterms:modified xsi:type="dcterms:W3CDTF">2025-05-24T07:59:26Z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