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Sex- and race-based disparities in in-hospital outcomes among U.S. hospitalizations for lupus nephritis: a National Inpatient Sample analysis</w:t>
      </w:r>
    </w:p>
    <w:p>
      <w:pPr>
        <w:pStyle w:val="Subtitle"/>
      </w:pPr>
      <w:r>
        <w:t xml:space="preserve">Lupus nephritis in any diagnoses fields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evaluate the burden and outcomes of lupus nephritis hospitalization and disparities in in-hospital outcomes by sex and by race.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2017 to 2022.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Inclusion Criteria: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Diagnosis of lupus nephritis in any diagnoses fields: M32.14 and M32.15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Disparities:</w:t>
      </w:r>
    </w:p>
    <w:p>
      <w:pPr>
        <w:numPr>
          <w:ilvl w:val="1"/>
          <w:numId w:val="1003"/>
        </w:numPr>
      </w:pPr>
      <w:r>
        <w:t xml:space="preserve">Sex categories: Male and female</w:t>
      </w:r>
    </w:p>
    <w:p>
      <w:pPr>
        <w:numPr>
          <w:ilvl w:val="1"/>
          <w:numId w:val="1003"/>
        </w:numPr>
      </w:pPr>
      <w:r>
        <w:t xml:space="preserve">Race categories: White, Black, Hispanic, Asian or Pacific Islander, Native American, and other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In-hospital all-cause mortality</w:t>
      </w:r>
    </w:p>
    <w:p>
      <w:pPr>
        <w:numPr>
          <w:ilvl w:val="1"/>
          <w:numId w:val="1004"/>
        </w:numPr>
      </w:pPr>
      <w:r>
        <w:t xml:space="preserve">Total hospital length of stay (days)</w:t>
      </w:r>
    </w:p>
    <w:p>
      <w:pPr>
        <w:numPr>
          <w:ilvl w:val="1"/>
          <w:numId w:val="1004"/>
        </w:numPr>
      </w:pPr>
      <w:r>
        <w:t xml:space="preserve">Total charge, inflation adjusted to 2021 ($)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</w:t>
      </w:r>
      <w:r>
        <w:t xml:space="preserve">:</w:t>
      </w:r>
    </w:p>
    <w:p>
      <w:pPr>
        <w:numPr>
          <w:ilvl w:val="1"/>
          <w:numId w:val="1005"/>
        </w:numPr>
      </w:pPr>
      <w:r>
        <w:t xml:space="preserve">Mechanical Ventilation</w:t>
      </w:r>
    </w:p>
    <w:p>
      <w:pPr>
        <w:numPr>
          <w:ilvl w:val="1"/>
          <w:numId w:val="1005"/>
        </w:numPr>
      </w:pPr>
      <w:r>
        <w:t xml:space="preserve">Renal Replacement Therapy</w:t>
      </w:r>
    </w:p>
    <w:p>
      <w:pPr>
        <w:numPr>
          <w:ilvl w:val="1"/>
          <w:numId w:val="1005"/>
        </w:numPr>
      </w:pPr>
      <w:r>
        <w:t xml:space="preserve">Acute kidney injury</w:t>
      </w:r>
    </w:p>
    <w:p>
      <w:pPr>
        <w:numPr>
          <w:ilvl w:val="1"/>
          <w:numId w:val="1005"/>
        </w:numPr>
      </w:pPr>
      <w:r>
        <w:t xml:space="preserve">Non-home discharge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 the following:</w:t>
      </w:r>
    </w:p>
    <w:p>
      <w:pPr>
        <w:numPr>
          <w:ilvl w:val="1"/>
          <w:numId w:val="1006"/>
        </w:numPr>
      </w:pPr>
      <w:r>
        <w:t xml:space="preserve">Patient Characteristics:: Age, sex, race, income, insurance,</w:t>
      </w:r>
    </w:p>
    <w:p>
      <w:pPr>
        <w:numPr>
          <w:ilvl w:val="1"/>
          <w:numId w:val="1006"/>
        </w:numPr>
      </w:pPr>
      <w:r>
        <w:t xml:space="preserve">Hospital Characteristics: hospital region, hospital bedsize, hospital location and teaching status, day and type of admission.</w:t>
      </w:r>
    </w:p>
    <w:p>
      <w:pPr>
        <w:numPr>
          <w:ilvl w:val="1"/>
          <w:numId w:val="1006"/>
        </w:numPr>
      </w:pPr>
      <w:r>
        <w:t xml:space="preserve">Comorbidities: Chronic heart failure, diabetes mellitus, hypertension, chronic kidney disease, obesity, coronary artery disease, hyperlipidemia, anemia, chronic pulmonary disease, and antiphospholipid syndrome.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8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8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7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9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9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9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0"/>
    <w:bookmarkStart w:id="23" w:name="disparities-by-sex"/>
    <w:p>
      <w:pPr>
        <w:pStyle w:val="Heading2"/>
      </w:pPr>
      <w:r>
        <w:t xml:space="preserve">Disparities by Sex</w:t>
      </w:r>
    </w:p>
    <w:bookmarkStart w:id="21" w:name="baseline-characteristics"/>
    <w:p>
      <w:pPr>
        <w:pStyle w:val="Heading3"/>
      </w:pPr>
      <w:r>
        <w:t xml:space="preserve">Baseline Characteristics: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154,125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128,680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25,445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(29, 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(28,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(30, 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32,560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25,325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8,110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6,785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1,325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70,180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60,510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9,670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33,575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28,085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5,490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5,025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120,030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100,170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19,860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34,095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28,510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5,585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13,685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11,550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2,135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140,230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116,925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23,305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57,665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48,945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8,720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36,995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6,285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33,510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27,650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5,860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19,835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4,200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45,480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37,380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8,100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41,985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35,845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63,465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53,020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10,445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2,965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2,240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31,690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26,050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27,375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22,535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4,840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62,285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52,965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9,320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32,775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5,645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95,190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79,665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15,525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35,810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29,790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6,020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23,125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19,225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3,900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3,825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17,195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14,275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2,920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133,105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111,260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21,845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10,035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8,010 (6.2%)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2,025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70,850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58,960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11,890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35,520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28,210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7,310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41,820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33,790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8,030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111,655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91,970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19,685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18,965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3,345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17,260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12,600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20,785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3,810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14,665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12,055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2,610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22,100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19,355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2,745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132,025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109,325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22,700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1"/>
    <w:bookmarkStart w:id="22" w:name="outcomes-table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154,125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128,680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25,445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3,440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2,820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48,712 (25,915, 100,018)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48,536 (25,957, 99,508)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49,854 (25,695, 103,301)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7,670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6,225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1,445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12,455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10,030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2,425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Replacement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48,315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39,680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8,635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56,315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45,900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10,415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2"/>
    <w:bookmarkEnd w:id="23"/>
    <w:bookmarkStart w:id="26" w:name="disparities-by-race"/>
    <w:p>
      <w:pPr>
        <w:pStyle w:val="Heading2"/>
      </w:pPr>
      <w:r>
        <w:t xml:space="preserve">Disparities by Race</w:t>
      </w:r>
    </w:p>
    <w:bookmarkStart w:id="24" w:name="baseline-characteristics-1"/>
    <w:p>
      <w:pPr>
        <w:pStyle w:val="Heading3"/>
      </w:pPr>
      <w:r>
        <w:t xml:space="preserve">Baseline Characteristics: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150,660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32,560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 or Pacific Islander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8,110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70,190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33,575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Native American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5,025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(29, 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(34, 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(29, 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(28,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(27, 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(29,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(29, 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125,850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25,325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6,785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60,510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28,085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4,210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24,800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9,670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5,490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117,295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25,435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6,320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54,325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26,340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3,965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33,365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7,125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15,865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13,250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770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5,305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2,815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137,205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28,755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7,340 (91%)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64,785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30,730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1,105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4,490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56,420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7,515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33,785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12,155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36,050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8,860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15,585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8,730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1,095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32,835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8,775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2,290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12,375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7,890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1,315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23,510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7,085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3,305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7,490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4,425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44,330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11,245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17,395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10,210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40,995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4,905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2,010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19,480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12,630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62,240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15,630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32,110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9,990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2,870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735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1,105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30,120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8,770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16,580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2,900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27,080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5,995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12,040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5,925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1,690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61,360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11,215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35,360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11,440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1,760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32,100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6,580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4,390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6,210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13,310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93,235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18,785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5,360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43,965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21,150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830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3,145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35,160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16,095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7,855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22,265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10,130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4,570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3,655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1,595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16,790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4,680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6,375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4,045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130,215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26,285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7,090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62,225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29,310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4,310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9,810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2,515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515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4,245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2,110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69,235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13,275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33,900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15,785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2,195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34,780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9,510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15,175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6,755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41,065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8,995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1,585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21,780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7,270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109,300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22,885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5,455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53,695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23,020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3,310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21,765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5,420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10,515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4,490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16,830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6,895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2,645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6,410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12,265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14,305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5,675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500 (10.0%)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Grouped charlson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21,490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4,500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8,240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6,000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129,170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28,060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6,535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61,950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27,575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1,060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3,990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4"/>
    <w:bookmarkStart w:id="25" w:name="outcomes-table-1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150,660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White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32,560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Asian or Pacific Islander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8,110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Black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70,190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Hispanic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33,575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Native American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1,200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5,025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3,375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1,370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650 (1.9%)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(3.0,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(3.0, 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48,794 (25,960, 100,309)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46,949 (24,759, 96,477)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61,923 (33,490, 126,694)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45,990 (24,835, 94,075)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53,548 (28,075, 109,666)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41,422 (22,725, 84,853)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58,775 (30,271, 114,513)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7,470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3,570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1,530 (4.6%)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12,105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2,660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530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5,970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2,410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390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Replacement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47,215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25,585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10,060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1,295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55,050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13,020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24,545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12,135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1,815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5"/>
    <w:bookmarkEnd w:id="26"/>
    <w:bookmarkStart w:id="32" w:name="multivariable-logistic-regression"/>
    <w:p>
      <w:pPr>
        <w:pStyle w:val="Heading2"/>
      </w:pPr>
      <w:r>
        <w:t xml:space="preserve">Multivariable Logistic Regression:</w:t>
      </w:r>
    </w:p>
    <w:bookmarkStart w:id="27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mechanical-ventilation"/>
    <w:p>
      <w:pPr>
        <w:pStyle w:val="Heading3"/>
      </w:pPr>
      <w:r>
        <w:t xml:space="preserve">Mechanical Ventilation: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1.65, 2.86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2.09, 2.71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renal-replacement-therapy"/>
    <w:p>
      <w:pPr>
        <w:pStyle w:val="Heading3"/>
      </w:pPr>
      <w:r>
        <w:t xml:space="preserve">Renal Replacement Therapy: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2.00, 2.34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1.57, 1.84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13.8, 17.9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2.25, 2.77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1.47, 2.19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End w:id="32"/>
    <w:bookmarkStart w:id="35" w:name="multivariable-linear-regression"/>
    <w:p>
      <w:pPr>
        <w:pStyle w:val="Heading2"/>
      </w:pPr>
      <w:r>
        <w:t xml:space="preserve">Multivariable Linear Regression:</w:t>
      </w:r>
    </w:p>
    <w:bookmarkStart w:id="33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-0.08, 0.52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-0.26, 0.32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-0.54, 0.08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-0.94, 5.2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-0.38, 0.76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-0.37, 0.17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-0.51, 0.11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-0.57, 0.13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-0.95, 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-0.91, 0.34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-0.47, 0.17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-1.8, 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1.0, 2.1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1.8, 2.8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-0.25, 0.24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-0.29, 0.23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1.5, 2.1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-0.25, 0.35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-0.23, 0.28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-0.86, 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-0.57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-0.53, 0.01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3"/>
    <w:bookmarkStart w:id="34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-4,094, 5,712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12,262, 33,265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-2,153, 6,491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2,825, 13,339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-32,613, 69,630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4,322, 25,410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91, 386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-4,172, 4,276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-4,576, 4,962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-1,126, 11,009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-5,871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-10,702, -1,040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-11,069, -2,573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-24,941, -5,445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26,328, 40,406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10,527, 20,013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30,107, 44,937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-16,553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-21,147, -11,958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-27,800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-32,538, -23,062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26,605, 40,195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41,396, 52,688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-2,162, 6,349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-30,432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-37,085, -23,779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-5,513, 3,619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9,954, 23,019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17,985, 28,833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11,891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6,643, 17,140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-4,243, 3,945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 artery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-7,239, 2,708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-12,153, -4,137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-12,349, -4,309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circulation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12,914, 26,513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Sex- and race-based disparities in in-hospital outcomes among U.S. hospitalizations for lupus nephritis: a National Inpatient Sample analysis</dc:title>
  <dc:creator>Eliza Aisha</dc:creator>
  <cp:keywords/>
  <dcterms:created xsi:type="dcterms:W3CDTF">2026-03-23T17:21:52Z</dcterms:created>
  <dcterms:modified xsi:type="dcterms:W3CDTF">2026-03-23T17:21:52Z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Lupus nephritis in any diagnoses fields</vt:lpwstr>
  </property>
  <property fmtid="{D5CDD505-2E9C-101B-9397-08002B2CF9AE}" pid="12" name="toc-title">
    <vt:lpwstr>Table of contents</vt:lpwstr>
  </property>
</Properties>
</file>