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NASH = K75.81</w:t>
      </w:r>
    </w:p>
    <w:p>
      <w:pPr>
        <w:numPr>
          <w:ilvl w:val="1"/>
          <w:numId w:val="1003"/>
        </w:numPr>
      </w:pPr>
      <w:r>
        <w:t xml:space="preserve">NAFLD = K76.0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8" w:name="nafldnash-outcomes"/>
    <w:p>
      <w:pPr>
        <w:pStyle w:val="Heading2"/>
      </w:pPr>
      <w:r>
        <w:t xml:space="preserve">NAFLD/NASH Outcomes:</w:t>
      </w:r>
    </w:p>
    <w:bookmarkStart w:id="21" w:name="baseline-table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4,345,720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1,993,470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2,352,085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21,415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2,590,115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25,625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126,245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948,775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458,450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32,145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104,710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7.63 (1.84)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9.06 (1.85)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1,477,640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1,166,165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963,150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676,700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486,400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360,490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3,412,780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28,660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82,230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1,081,650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745,455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1,766,575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752,040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2,151,370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20,995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1,274,695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919,655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377,915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822,370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3,145,435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29,710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406,380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3,040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2,735,430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27,285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2,371,545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21,320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440,530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1,470,715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227,685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238,025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616,385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51,435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86,355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56,875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609,385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714,590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813,210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318,880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2,161,345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168,705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4,345,720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224,955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83,318 (128,270)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87,446 (128,901)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3"/>
      </w:pPr>
      <w:r>
        <w:t xml:space="preserve">Multivariable Logistic Regression:</w:t>
      </w:r>
    </w:p>
    <w:bookmarkStart w:id="23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2.11, 2.33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bookmarkStart w:id="27" w:name="multivariable-linear-regression"/>
    <w:p>
      <w:pPr>
        <w:pStyle w:val="Heading3"/>
      </w:pPr>
      <w:r>
        <w:t xml:space="preserve">Multivariable Linear Regression:</w:t>
      </w:r>
    </w:p>
    <w:bookmarkStart w:id="25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-0.99, 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Start w:id="26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-14,744, -8,033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-549, -429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5,453, 7,497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2,791, 17,679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-4,477, -1,018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13,155, 19,242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-14,109, -1,976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19,100, 31,856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5,506, 6,879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-1,701, 1,469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-2,032, 1,843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1,424, 7,080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-10,896, -5,377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-8,323, -4,197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-6,587, 3,406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19,174, 27,208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15,008, 20,082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36,383, 47,000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-17,110, -11,071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-27,039, -21,034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25,171, 30,596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38,022, 42,821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-1,536, 2,205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-11,128, -8,653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4,991, 7,146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13,188, 17,354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1,341, 3,727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-1,645, 1,140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4,540, 7,354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-25,691, -18,934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-8,220, -3,758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-12,188, -3,073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-17,577, -14,505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-10,913, -8,408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-11,555, -8,869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40,228, 47,689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21,831, 24,316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-3,995, 1,327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2025-04-18T14:01:14Z</dcterms:created>
  <dcterms:modified xsi:type="dcterms:W3CDTF">2025-04-18T14:01:14Z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