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and</w:t>
      </w:r>
      <w:r>
        <w:t xml:space="preserve"> </w:t>
      </w:r>
      <w:r>
        <w:t xml:space="preserve">Gender</w:t>
      </w:r>
      <w:r>
        <w:t xml:space="preserve"> </w:t>
      </w:r>
      <w:r>
        <w:t xml:space="preserve">Disparities</w:t>
      </w:r>
      <w:r>
        <w:t xml:space="preserve"> </w:t>
      </w:r>
      <w:r>
        <w:t xml:space="preserve">in</w:t>
      </w:r>
      <w:r>
        <w:t xml:space="preserve"> </w:t>
      </w:r>
      <w:r>
        <w:t xml:space="preserve">Mechanical</w:t>
      </w:r>
      <w:r>
        <w:t xml:space="preserve"> </w:t>
      </w:r>
      <w:r>
        <w:t xml:space="preserve">Thrombectomy</w:t>
      </w:r>
      <w:r>
        <w:t xml:space="preserve"> </w:t>
      </w:r>
      <w:r>
        <w:t xml:space="preserve">Utilization</w:t>
      </w:r>
      <w:r>
        <w:t xml:space="preserve"> </w:t>
      </w:r>
      <w:r>
        <w:t xml:space="preserve">in</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Rinaldo et al.2019</w:t>
        </w:r>
      </w:hyperlink>
    </w:p>
    <w:p>
      <w:pPr>
        <w:pStyle w:val="Compact"/>
        <w:numPr>
          <w:ilvl w:val="1"/>
          <w:numId w:val="1002"/>
        </w:numPr>
      </w:pPr>
      <w:hyperlink r:id="rId21">
        <w:r>
          <w:rPr>
            <w:rStyle w:val="Hyperlink"/>
          </w:rPr>
          <w:t xml:space="preserve">Saber et al.2022</w:t>
        </w:r>
      </w:hyperlink>
    </w:p>
    <w:p>
      <w:pPr>
        <w:numPr>
          <w:ilvl w:val="0"/>
          <w:numId w:val="1001"/>
        </w:numPr>
      </w:pPr>
      <w:r>
        <w:rPr>
          <w:b/>
          <w:bCs/>
        </w:rPr>
        <w:t xml:space="preserve">Study Objective</w:t>
      </w:r>
      <w:r>
        <w:t xml:space="preserve">: Examine racial and gender disparities in utilization of mechanical thrombectomy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ICD-10 codes used for</w:t>
      </w:r>
      <w:r>
        <w:t xml:space="preserve">: Ischemic Stroke (ICD-10-CM: I63), Mechanical Thrombectomy (ICD-10-PCS: 03CG3ZZ), IV-tPA (ICD-10-CM: Z9282 OR ICD-10-PCS: 3E03317)</w:t>
      </w:r>
    </w:p>
    <w:p>
      <w:pPr>
        <w:numPr>
          <w:ilvl w:val="0"/>
          <w:numId w:val="1001"/>
        </w:numPr>
      </w:pPr>
      <w:r>
        <w:rPr>
          <w:b/>
          <w:bCs/>
        </w:rPr>
        <w:t xml:space="preserve">Primary Outcomes</w:t>
      </w:r>
      <w:r>
        <w:t xml:space="preserve">:</w:t>
      </w:r>
    </w:p>
    <w:p>
      <w:pPr>
        <w:numPr>
          <w:ilvl w:val="1"/>
          <w:numId w:val="1003"/>
        </w:numPr>
      </w:pPr>
      <w:r>
        <w:t xml:space="preserve">Assessing characterstics in the thrombectomy vs no thrombectomy groups</w:t>
      </w:r>
    </w:p>
    <w:p>
      <w:pPr>
        <w:numPr>
          <w:ilvl w:val="1"/>
          <w:numId w:val="1003"/>
        </w:numPr>
      </w:pPr>
      <w:r>
        <w:t xml:space="preserve">Assessing racial disparities in patients utilizing mechanical thrombectomy</w:t>
      </w:r>
    </w:p>
    <w:p>
      <w:pPr>
        <w:numPr>
          <w:ilvl w:val="1"/>
          <w:numId w:val="1003"/>
        </w:numPr>
      </w:pPr>
      <w:r>
        <w:t xml:space="preserve">Assessing gender disparities in patients utilizing mechanical thrombectomy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regression was performed to identify variables independently associated with utilization of mechanical thrombectomy.</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6" w:name="descriptive-analysis"/>
    <w:p>
      <w:pPr>
        <w:pStyle w:val="Heading2"/>
      </w:pPr>
      <w:r>
        <w:t xml:space="preserve">Descriptive analysis</w:t>
      </w:r>
    </w:p>
    <w:p>
      <w:pPr>
        <w:pStyle w:val="FirstParagraph"/>
      </w:pPr>
      <w:r>
        <w:t xml:space="preserve">###Demographics of Admissions for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655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(15)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n (%)</w:t>
            </w:r>
          </w:p>
        </w:tc>
      </w:tr>
    </w:tbl>
    <w:bookmarkStart w:id="23" w:name="Xb611bf9624bc00ed4bc9f8d1e0854000387942c"/>
    <w:p>
      <w:pPr>
        <w:pStyle w:val="Heading3"/>
      </w:pPr>
      <w:r>
        <w:t xml:space="preserve">Comparison of Patients Who Did and Did Not Recieve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(59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Xef59bcc1f045b71a297c5eb170ad52c4c27cdcc"/>
    <w:p>
      <w:pPr>
        <w:pStyle w:val="Heading3"/>
      </w:pPr>
      <w:r>
        <w:t xml:space="preserve">Comparison of male vs female patients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(62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(59 –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4"/>
    <w:bookmarkStart w:id="25" w:name="Xe37e8c0ecda971be8efe0c3639fb8e0b985e368"/>
    <w:p>
      <w:pPr>
        <w:pStyle w:val="Heading3"/>
      </w:pPr>
      <w:r>
        <w:t xml:space="preserve">Comparison of patients of different races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(63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(57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(59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(55 –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5"/>
    <w:bookmarkEnd w:id="26"/>
    <w:bookmarkStart w:id="28" w:name="multivariable-logistic-regression"/>
    <w:p>
      <w:pPr>
        <w:pStyle w:val="Heading2"/>
      </w:pPr>
      <w:r>
        <w:t xml:space="preserve">Multivariable Logistic Regression:</w:t>
      </w:r>
    </w:p>
    <w:bookmarkStart w:id="27" w:name="utilization-of-mechanical-thrombectomy"/>
    <w:p>
      <w:pPr>
        <w:pStyle w:val="Heading3"/>
      </w:pPr>
      <w:r>
        <w:t xml:space="preserve">Utilization of Mechanical Thrombectomy: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(0.20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14,348,938,033,681 (48,851,206,751 to 4,214,676,287,162,060)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9,655 (591 to 157,720)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(0.00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41,415,209,895,148,920 (332,772,362,187,914 to 5,154,333,128,454,549,504)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12,825,388 (2,781,295 to 59,141,722)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993,497,675,025,013 (8,130,722,763,446 to 121,396,050,387,751,536)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1,824,384,731,332,312 (15,147,005,328,884 to 219,738,461,540,746,560)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 (8.93 to 122,758)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23,961,016,060 (4,340,918,145 to 132,260,105,225)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788,606,315 (2,857,056 to 217,671,562,412)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1,232,548,684 (46,764,665 to 32,485,558,768)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888,281 (95,306 to 8,279,020)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and Gender Disparities in Mechanical Thrombectomy Utilization in Stroke Patients</dc:title>
  <dc:creator>Eliza Aisha</dc:creator>
  <cp:keywords/>
  <dcterms:created xsi:type="dcterms:W3CDTF">2024-10-04T21:17:40Z</dcterms:created>
  <dcterms:modified xsi:type="dcterms:W3CDTF">2024-10-04T21:17:40Z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