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of Age &lt;50 Versus ≥50 Years on In-Hospital Outcomes in Women With Rheumatoid Arthritis</w:t>
      </w:r>
    </w:p>
    <w:p>
      <w:pPr>
        <w:pStyle w:val="Subtitle"/>
      </w:pPr>
      <w:r>
        <w:t xml:space="preserve">A National Inpatient Sample Analysis</w:t>
      </w:r>
    </w:p>
    <w:p>
      <w:pPr>
        <w:pStyle w:val="Author"/>
      </w:pPr>
      <w:r>
        <w:t xml:space="preserve">Eliza Aisha</w:t>
      </w:r>
    </w:p>
    <w:bookmarkStart w:id="22" w:name="preamble"/>
    <w:p>
      <w:pPr>
        <w:pStyle w:val="Heading2"/>
      </w:pPr>
      <w:r>
        <w:t xml:space="preserve">Preamble:</w:t>
      </w:r>
    </w:p>
    <w:p>
      <w:pPr>
        <w:numPr>
          <w:ilvl w:val="0"/>
          <w:numId w:val="1001"/>
        </w:numPr>
      </w:pPr>
      <w:r>
        <w:rPr>
          <w:b/>
          <w:bCs/>
        </w:rPr>
        <w:t xml:space="preserve">Study Objective</w:t>
      </w:r>
      <w:r>
        <w:t xml:space="preserve">: To evaluate the impact of age on outcomes in women with RA.</w:t>
      </w:r>
    </w:p>
    <w:p>
      <w:pPr>
        <w:numPr>
          <w:ilvl w:val="0"/>
          <w:numId w:val="1001"/>
        </w:numPr>
      </w:pPr>
      <w:r>
        <w:rPr>
          <w:b/>
          <w:bCs/>
        </w:rPr>
        <w:t xml:space="preserve">Data Source</w:t>
      </w:r>
      <w:r>
        <w:t xml:space="preserve">: Cross-sectional analysis of the National Inpatient Sample (NIS) from 2017 to 2022. The NIS is part of the Healthcare Cost and Utilization Project (HCUP) and provides a stratified sample of inpatient discharges from U.S. community hospitals across all payers.</w:t>
      </w:r>
    </w:p>
    <w:p>
      <w:pPr>
        <w:numPr>
          <w:ilvl w:val="0"/>
          <w:numId w:val="1001"/>
        </w:numPr>
      </w:pPr>
      <w:r>
        <w:rPr>
          <w:b/>
          <w:bCs/>
        </w:rPr>
        <w:t xml:space="preserve">Inclusion Criteria:</w:t>
      </w:r>
    </w:p>
    <w:p>
      <w:pPr>
        <w:numPr>
          <w:ilvl w:val="1"/>
          <w:numId w:val="1002"/>
        </w:numPr>
      </w:pPr>
      <w:r>
        <w:t xml:space="preserve">Age ≥ 18 years</w:t>
      </w:r>
    </w:p>
    <w:p>
      <w:pPr>
        <w:numPr>
          <w:ilvl w:val="1"/>
          <w:numId w:val="1002"/>
        </w:numPr>
      </w:pPr>
      <w:r>
        <w:t xml:space="preserve">Sex = female</w:t>
      </w:r>
    </w:p>
    <w:p>
      <w:pPr>
        <w:numPr>
          <w:ilvl w:val="1"/>
          <w:numId w:val="1002"/>
        </w:numPr>
      </w:pPr>
      <w:r>
        <w:t xml:space="preserve">Rheumatoid Arthritis as primary or secondary diagnosis, using ICD 10 codes: M05 and M06.</w:t>
      </w:r>
    </w:p>
    <w:p>
      <w:pPr>
        <w:numPr>
          <w:ilvl w:val="0"/>
          <w:numId w:val="1001"/>
        </w:numPr>
      </w:pPr>
      <w:r>
        <w:rPr>
          <w:b/>
          <w:bCs/>
        </w:rPr>
        <w:t xml:space="preserve">Exposure:</w:t>
      </w:r>
    </w:p>
    <w:p>
      <w:pPr>
        <w:pStyle w:val="Compact"/>
        <w:numPr>
          <w:ilvl w:val="1"/>
          <w:numId w:val="1003"/>
        </w:numPr>
      </w:pPr>
      <w:r>
        <w:t xml:space="preserve">Age categories: &lt;50 and ≥50 years</w:t>
      </w:r>
    </w:p>
    <w:p>
      <w:pPr>
        <w:numPr>
          <w:ilvl w:val="0"/>
          <w:numId w:val="1001"/>
        </w:numPr>
      </w:pPr>
      <w:r>
        <w:rPr>
          <w:b/>
          <w:bCs/>
        </w:rPr>
        <w:t xml:space="preserve">Primary Outcomes</w:t>
      </w:r>
      <w:r>
        <w:t xml:space="preserve">:</w:t>
      </w:r>
    </w:p>
    <w:p>
      <w:pPr>
        <w:numPr>
          <w:ilvl w:val="1"/>
          <w:numId w:val="1004"/>
        </w:numPr>
      </w:pPr>
      <w:r>
        <w:t xml:space="preserve">In-hospital all-cause mortality</w:t>
      </w:r>
    </w:p>
    <w:p>
      <w:pPr>
        <w:numPr>
          <w:ilvl w:val="1"/>
          <w:numId w:val="1004"/>
        </w:numPr>
      </w:pPr>
      <w:r>
        <w:t xml:space="preserve">Total hospital length of stay (days)</w:t>
      </w:r>
    </w:p>
    <w:p>
      <w:pPr>
        <w:numPr>
          <w:ilvl w:val="1"/>
          <w:numId w:val="1004"/>
        </w:numPr>
      </w:pPr>
      <w:r>
        <w:t xml:space="preserve">Total charge, inflation adjusted to 2022 ($)</w:t>
      </w:r>
    </w:p>
    <w:p>
      <w:pPr>
        <w:numPr>
          <w:ilvl w:val="1"/>
          <w:numId w:val="1004"/>
        </w:numPr>
      </w:pPr>
      <w:r>
        <w:t xml:space="preserve">Non-home discharge</w:t>
      </w:r>
    </w:p>
    <w:p>
      <w:pPr>
        <w:numPr>
          <w:ilvl w:val="0"/>
          <w:numId w:val="1001"/>
        </w:numPr>
      </w:pPr>
      <w:r>
        <w:rPr>
          <w:b/>
          <w:bCs/>
        </w:rPr>
        <w:t xml:space="preserve">Secondary Outcomes</w:t>
      </w:r>
      <w:r>
        <w:t xml:space="preserve">:</w:t>
      </w:r>
    </w:p>
    <w:p>
      <w:pPr>
        <w:numPr>
          <w:ilvl w:val="1"/>
          <w:numId w:val="1005"/>
        </w:numPr>
      </w:pPr>
      <w:r>
        <w:t xml:space="preserve">Mechanical ventilation</w:t>
      </w:r>
    </w:p>
    <w:p>
      <w:pPr>
        <w:numPr>
          <w:ilvl w:val="1"/>
          <w:numId w:val="1005"/>
        </w:numPr>
      </w:pPr>
      <w:r>
        <w:t xml:space="preserve">Respiratory failure</w:t>
      </w:r>
    </w:p>
    <w:p>
      <w:pPr>
        <w:numPr>
          <w:ilvl w:val="1"/>
          <w:numId w:val="1005"/>
        </w:numPr>
      </w:pPr>
      <w:r>
        <w:t xml:space="preserve">Sepsis</w:t>
      </w:r>
    </w:p>
    <w:p>
      <w:pPr>
        <w:numPr>
          <w:ilvl w:val="1"/>
          <w:numId w:val="1005"/>
        </w:numPr>
      </w:pPr>
      <w:r>
        <w:t xml:space="preserve">Pneumonia</w:t>
      </w:r>
    </w:p>
    <w:p>
      <w:pPr>
        <w:numPr>
          <w:ilvl w:val="1"/>
          <w:numId w:val="1005"/>
        </w:numPr>
      </w:pPr>
      <w:r>
        <w:t xml:space="preserve">Acute myocardial infarction</w:t>
      </w:r>
    </w:p>
    <w:p>
      <w:pPr>
        <w:numPr>
          <w:ilvl w:val="1"/>
          <w:numId w:val="1005"/>
        </w:numPr>
      </w:pPr>
      <w:r>
        <w:t xml:space="preserve">Stroke</w:t>
      </w:r>
    </w:p>
    <w:p>
      <w:pPr>
        <w:numPr>
          <w:ilvl w:val="1"/>
          <w:numId w:val="1005"/>
        </w:numPr>
      </w:pPr>
      <w:r>
        <w:t xml:space="preserve">Acute kidney injury</w:t>
      </w:r>
    </w:p>
    <w:p>
      <w:pPr>
        <w:numPr>
          <w:ilvl w:val="1"/>
          <w:numId w:val="1005"/>
        </w:numPr>
      </w:pPr>
      <w:r>
        <w:t xml:space="preserve">Any major joint arthroplasty</w:t>
      </w:r>
    </w:p>
    <w:p>
      <w:pPr>
        <w:numPr>
          <w:ilvl w:val="0"/>
          <w:numId w:val="1001"/>
        </w:numPr>
      </w:pPr>
      <w:r>
        <w:rPr>
          <w:b/>
          <w:bCs/>
        </w:rPr>
        <w:t xml:space="preserve">Covariates for Adjustment:</w:t>
      </w:r>
      <w:r>
        <w:t xml:space="preserve"> </w:t>
      </w:r>
      <w:r>
        <w:t xml:space="preserve">All models adjusted for the following:</w:t>
      </w:r>
    </w:p>
    <w:p>
      <w:pPr>
        <w:numPr>
          <w:ilvl w:val="1"/>
          <w:numId w:val="1006"/>
        </w:numPr>
      </w:pPr>
      <w:r>
        <w:t xml:space="preserve">Patient Characteristics:: Race, income, insurance.</w:t>
      </w:r>
    </w:p>
    <w:p>
      <w:pPr>
        <w:numPr>
          <w:ilvl w:val="1"/>
          <w:numId w:val="1006"/>
        </w:numPr>
      </w:pPr>
      <w:r>
        <w:t xml:space="preserve">Hospital Characteristics: hospital region, hospital bedsize, hospital location and teaching status, day (weekday/weekend) and type of admission (elective/non-elective; except for in arthroplasty).</w:t>
      </w:r>
    </w:p>
    <w:p>
      <w:pPr>
        <w:numPr>
          <w:ilvl w:val="1"/>
          <w:numId w:val="1006"/>
        </w:numPr>
      </w:pPr>
      <w:r>
        <w:t xml:space="preserve">Comorbidities: Heart failure, diabetes mellitus, hypertension, chronic kidney disease, obesity, coronary artery disease, hyperlipidemia, anemia, chronic pulmonary disease, atrial fibrillation, coagulopathy, smoking, hypothyroidism, cancer (and prior stroke and prior MI for AMI and stroke).</w:t>
      </w:r>
    </w:p>
    <w:p>
      <w:pPr>
        <w:numPr>
          <w:ilvl w:val="0"/>
          <w:numId w:val="1001"/>
        </w:numPr>
      </w:pPr>
      <w:r>
        <w:rPr>
          <w:b/>
          <w:bCs/>
        </w:rPr>
        <w:t xml:space="preserve">Statistical Methods:</w:t>
      </w:r>
    </w:p>
    <w:p>
      <w:pPr>
        <w:numPr>
          <w:ilvl w:val="1"/>
          <w:numId w:val="1007"/>
        </w:numPr>
      </w:pPr>
      <w:r>
        <w:rPr>
          <w:b/>
          <w:bCs/>
        </w:rPr>
        <w:t xml:space="preserve">Univariable Analysis:</w:t>
      </w:r>
    </w:p>
    <w:p>
      <w:pPr>
        <w:numPr>
          <w:ilvl w:val="2"/>
          <w:numId w:val="1008"/>
        </w:numPr>
      </w:pPr>
      <w:r>
        <w:t xml:space="preserve">Categorical variables: Compared using Pearson’s chi-square test with Rao &amp; Scott adjustment</w:t>
      </w:r>
    </w:p>
    <w:p>
      <w:pPr>
        <w:numPr>
          <w:ilvl w:val="2"/>
          <w:numId w:val="1008"/>
        </w:numPr>
      </w:pPr>
      <w:r>
        <w:t xml:space="preserve">Continuous variables: Analyzed using the design-based Kruskal–Wallis test, a non-parametric alternative suitable for survey-weighted data</w:t>
      </w:r>
    </w:p>
    <w:p>
      <w:pPr>
        <w:numPr>
          <w:ilvl w:val="1"/>
          <w:numId w:val="1007"/>
        </w:numPr>
      </w:pPr>
      <w:r>
        <w:rPr>
          <w:b/>
          <w:bCs/>
        </w:rPr>
        <w:t xml:space="preserve">Multivariable Analysis:</w:t>
      </w:r>
    </w:p>
    <w:p>
      <w:pPr>
        <w:numPr>
          <w:ilvl w:val="2"/>
          <w:numId w:val="1009"/>
        </w:numPr>
      </w:pPr>
      <w:r>
        <w:t xml:space="preserve">Binary outcomes (e.g., mortality): Survey-weighted logistic regression using the</w:t>
      </w:r>
      <w:r>
        <w:t xml:space="preserve"> </w:t>
      </w:r>
      <w:r>
        <w:rPr>
          <w:rStyle w:val="VerbatimChar"/>
        </w:rPr>
        <w:t xml:space="preserve">quasibinomial</w:t>
      </w:r>
      <w:r>
        <w:t xml:space="preserve"> </w:t>
      </w:r>
      <w:r>
        <w:t xml:space="preserve">family</w:t>
      </w:r>
    </w:p>
    <w:p>
      <w:pPr>
        <w:numPr>
          <w:ilvl w:val="2"/>
          <w:numId w:val="1009"/>
        </w:numPr>
      </w:pPr>
      <w:r>
        <w:t xml:space="preserve">Continuous outcomes (e.g., LOS, hospital charges): Survey-weighted linear regression using the</w:t>
      </w:r>
      <w:r>
        <w:t xml:space="preserve"> </w:t>
      </w:r>
      <w:r>
        <w:rPr>
          <w:rStyle w:val="VerbatimChar"/>
        </w:rPr>
        <w:t xml:space="preserve">gaussian</w:t>
      </w:r>
      <w:r>
        <w:t xml:space="preserve"> </w:t>
      </w:r>
      <w:r>
        <w:t xml:space="preserve">family</w:t>
      </w:r>
    </w:p>
    <w:p>
      <w:pPr>
        <w:numPr>
          <w:ilvl w:val="2"/>
          <w:numId w:val="1009"/>
        </w:numPr>
      </w:pPr>
      <w:r>
        <w:t xml:space="preserve">Results reported as adjusted odds ratios (aORs) or beta coefficients with 95% confidence intervals</w:t>
      </w:r>
    </w:p>
    <w:p>
      <w:pPr>
        <w:numPr>
          <w:ilvl w:val="0"/>
          <w:numId w:val="1001"/>
        </w:numPr>
      </w:pPr>
      <w:r>
        <w:rPr>
          <w:b/>
          <w:bCs/>
        </w:rPr>
        <w:t xml:space="preserve">Software:</w:t>
      </w:r>
      <w:r>
        <w:t xml:space="preserve"> </w:t>
      </w:r>
      <w:r>
        <w:t xml:space="preserve">All statistical analyses were performed using the R Statistical Language (Version 4.5.0; R Foundation for Statistical Computing, Vienna, Austria), incorporating survey-weighted procedures via the</w:t>
      </w:r>
      <w:r>
        <w:t xml:space="preserve"> </w:t>
      </w:r>
      <w:r>
        <w:rPr>
          <w:i/>
          <w:iCs/>
        </w:rPr>
        <w:t xml:space="preserve">survey</w:t>
      </w:r>
      <w:r>
        <w:t xml:space="preserve"> </w:t>
      </w:r>
      <w:r>
        <w:t xml:space="preserve">package to account for the complex sampling design of NIS.</w:t>
      </w:r>
    </w:p>
    <w:bookmarkStart w:id="20" w:name="baseline-characteristics"/>
    <w:p>
      <w:pPr>
        <w:pStyle w:val="Heading3"/>
      </w:pPr>
      <w:r>
        <w:t xml:space="preserve">Baseline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1,885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&lt;50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≥50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1,660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1,490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Rheumatoid arthritis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RA with rheumatoid factor (Seropositive)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RA without rheumatoid factor (Seronegative)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1,805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1,605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w:t>
            </w:r>
          </w:p>
        </w:tc>
      </w:tr>
    </w:tbl>
    <w:bookmarkEnd w:id="20"/>
    <w:bookmarkStart w:id="21" w:name="outcomes-table"/>
    <w:p>
      <w:pPr>
        <w:pStyle w:val="Heading3"/>
      </w:pPr>
      <w:r>
        <w:t xml:space="preserve">Outcomes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1,885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&lt;50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≥50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1,660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Died during hospitalization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charge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45,738 (24,828, 88,990)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32,758 (16,194, 93,318)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46,440 (25,529, 85,019)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Respiratory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Pneumonia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Sepsis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kidney injury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Any major joint arthroplasty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1"/>
    <w:bookmarkEnd w:id="22"/>
    <w:bookmarkStart w:id="32" w:name="multivariable-logistic-regression"/>
    <w:p>
      <w:pPr>
        <w:pStyle w:val="Heading2"/>
      </w:pPr>
      <w:r>
        <w:t xml:space="preserve">Multivariable Logistic Regression:</w:t>
      </w:r>
    </w:p>
    <w:bookmarkStart w:id="23" w:name="in-hospital-mortality"/>
    <w:p>
      <w:pPr>
        <w:pStyle w:val="Heading3"/>
      </w:pPr>
      <w:r>
        <w:t xml:space="preserve">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106,384,812,495,127,200,802,026,682,226,862,084,802,880,044,084,064,242,882,842,886,802,220,486,844,666,244,402,802,400,468,286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33,405,508,513,748,428,890,660,444,662,684,686,404,020,004,840,644,602,802,228,446,482,428,000,442,662,044,448,242,048,488, 338,798,265,111,438,924,128,864,242,840,428,688,826,028,060,602,080,288,646,006,006,660,868,444,660,404,864,642,880,262,468,620,402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5,232,277,717,022,257,974,824,806,220,228,202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70,171,635,021,310,658,220,882,682,228,066, 390,139,549,972,485,610,006,682,020,408,002,246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179,917,294,217,973,362,218,464,204,068,488,602,022,628,842,688,800,688,262,686,082,662,668,240,020,024,048,246,826,600,000,428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32,108,496,579,715,619,916,864,866,226,664,886,862,864,646,862,488,604,822,840,062,442,800,446,048,488,282,486,048,660,206, 1,008,151,617,387,359,090,560,662,822,282,202,048,664,680,284,024,800,824,260,860,624,008,802,200,262,068,206,642,248,026,084,604,480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1,928,574,183,856,122,814,822,648,628,860,864,642,800,004,824,220,042,800,268,882,082,200,480,640,228,680,662,882,624,622,600,806,204,242,422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4,664,975,011,554,443,202,044,466,424,000,224,400,840,482,202,682,628,026,246,266,882,688,420,042,648,406,040,442,628,600,228,222,068, 797,302,959,485,081,692,486,086,060,606,602,866,228,868,688,286,446,042,026,044,840,064,008,684,864,086,226,280,620,040,420,288,200,286,668,426,220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34,507,135,261,248,213,920,224,486,620,660,800,262,088,284,042,048,404,880,484,086,284,404,602,020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99,044,036,587,366,175,426,660,208,668,828,068,266,606,020,248,808,044,882,448,008,860,044,664, 12,022,353,136,705,335,183,260,686,400,688,620,008,084,662,448,468,222,824,260,640,640,286,604,204,642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14,053, 2,802,742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257,226,919,937,952,493,524,868,402,202,620,226,404,222,866,844,860,668,282,268,068,882,042,464,422,486,066,624,246,262,606,660,622,026,668,664,060,020,628,288,846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760,665,230,150,968,722,004,440,282,084,480,200,480,820,086,046,024,668,600,686,048,680,686,080,084,620,642,066,406,208,404,060,464,484,828,846,060,868,284, 86,983,978,914,921,561,058,662,448,400,080,604,600,662,646,086,080,002,886,822,466,064,824,248,444,088,686,206,866,622,608,242,408,808,468,084,026,080,064,824,602,068,206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15,478,222,923,420,324,158,424,660,846,028,048,664,062,064,060,448,480,000,622,042,600,880,288,286,024,864,244,646,020,842,226,004,482,468,622,260,040,480,448,680,220,228,068,662,266,084,204,268,842,644,608,442,442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10,383,439,926,339,913,970,424,044,886,440,666,208,008,842,088,064,044,480,448,200,460,288,206,680,088,226,206,808,684,006,406,202,462,200,040,606,264,642,448,224,662,668,088,802,828,424,624,886,260,844,044, 23,072,833,913,100,216,730,280,026,066,240,282,062,280,442,088,264,202,624,404,028,420,860,826,066,808,268,000,828,206,404,086,040,808,424,262,084,486,848,826,440,088,204,646,802,460,280,426,284,004,264,462,082,422,040,028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Inf, Inf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43,192,628,667,022,128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2,205,453,907,580,335, 845,904,403,059,625,600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340,520,450,139,486,101,140,062,660,862,648,262,402,062,406,262,246,022,440,404,424,062,280,820,228,040,002,008,224,244,266,868,804,424,280,226,844,824,886,624,206,446,828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9,570,637,117,311,064,733,802,202,446,006,602,224,262,082,282,822,084,406,206,640,820,460,220,442,068,040,608,006,684,486,460,662,408,082,202,280,866,446,042,602,804, 12,115,617,334,760,711,618,480,808,608,842,660,488,242,464,646,882,442,468,806,646,488,680,606,246,084,248,620,060,280,424,482,064,886,886,442,428,826,668,068,486,604,888,062,406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3,924,143,593,574,941,959,822,240,400,626,264,620,862,840,002,602,460,428,842,824,208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18,723,181,679,986,640,568,020,046,248,046,240,202,024,842,042,442,862,084,228,686, 822,451,184,109,100,210,266,004,428,240,822,242,606,248,282,246,606,862,862,248,002,206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44,458,997,949,248,587,728,068,022,868,446,024,806,068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547,456,846,630,904,639,764,064,220,448,080,606,660, 3,610,517,451,403,645,801,060,424,808,086,882,060,406,404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10.0, 30,736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119,263,112,375,718,285,520,840,202,206,806,662,282,406,046,648,088,064,824,042,208,664,024,442,840,226,200,464,664,808,882,406,484,684,260,820,208,642,246,644,060,046,062,442,644,228,684,024,022,284,046,008,406,244,624,486,800,628,226,848,408,862,642,226,844,002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28,637,341,331,593,771,588,824,606,606,228,826,628,264,660,626,028,222,404,042,464,688,068,646,066,442,060,608,088,462,026,004,280,400,068,004,886,688,448,406,428,806,606,062,200,280,460,608,448,628,644,222,626,468,020,222,400,688,284,022,004,606,606,200, 496,683,327,158,275,940,802,822,248,040,222,884,664,484,468,040,466,026,080,806,446,662,800,480,804,640,684,208,220,022,864,246,468,686,642,648,844,484,868,820,488,620,024,608,684,644,406,666,604,602,402,046,448,264,682,226,862,080,800,404,046,442,284,826,648,248,682,084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1,928,361,635,284,906,711,240,084,206,608,448,406,028,246,644,040,028,486,662,826,402,246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804,369,709,057,259,929,448,468,628,862,086,262,868,088,408,242,660,660,024,642,480, 4,622,971,942,586,990,880,442,004,084,220,888,484,402,028,468,464,668,866,664,062,800,622,266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27,916,321,334,134,595,856,064,468,228,860,668,466,424,888,682,048,642,268,800,008,446,866,280,468,206,220,200,082,888,444,622,086,688,622,084,422,086,840,062,844,068,888,484,080,600,022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140,119,567,447,140,471,642,628,422,242,820,822,606,282,020,848,046,064,220,006,400,468,468,846,622,820,020,848,200,228,200,204,846,446,044,284,488,886,846,084,608,826,240,042,886, 5,561,828,451,437,762,966,840,460,486,684,442,402,888,020,628,680,822,024,864,444,648,466,802,242,468,862,646,626,600,064,846,886,464,600,622,640,004,286,606,266,648,284,846,860,666,488,462,640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900,367,215,320,973,051,840,680,684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4,518,576,877,452,491,569,866,046, 179,406,291,938,952,791,002,640,066,028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644,277,209,038,603,724,244,802,288,462,020,804,688,004,626,440,006,664,444,002,884,220,426,466,648,620,844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1,091,030,209,509,460,817,468,086,226,422,268,222,866,200,026,060,488,644,280,224,444,842,484,044,448,886, 380,459,787,885,436,404,084,448,624,848,406,028,642,642,086,800,444,240,420,844,842,860,000,284,048,404,262,884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3"/>
    <w:bookmarkStart w:id="24" w:name="non-home-discharge"/>
    <w:p>
      <w:pPr>
        <w:pStyle w:val="Heading3"/>
      </w:pPr>
      <w:r>
        <w:t xml:space="preserve">Non-Home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1.94, 265,833,806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403,082,541,721,326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92.9, 1,748,028,993,607,913,313,380,488,406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133,235,774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0.01, 1,524,324,677,716,551,680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0.00, 16,593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213,562,078,594,815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302, 151,133,562,949,982,014,522,204,666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4,940,094,680,916,191,871,846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63.9, 381,889,047,847,588,946,880,842,668,084,468,646,460,020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0.00, 74.0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67,521,857,964,258,560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75.9, 60,090,284,379,357,931,336,480,442,048,002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25,340,672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0.47, 1,356,959,384,192,897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13,633,943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49.9, 3,721,970,664,001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3,683,560,752,653,033,508,266,602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13,276,028,835, 1,022,039,044,001,582,418,582,044,042,846,660,264,286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300,318,362,750,969,905,162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1.06, 85,267,627,916,429,513,696,062,602,280,044,620,288,268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118,661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2.36, 5,968,626,101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351,299,587,835,271,296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18.6, 6,650,124,958,682,283,792,444,604,602,648,026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0.00, 23,736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1,043,480,749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0.19, 5,667,485,420,968,240,128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4"/>
    <w:bookmarkStart w:id="25" w:name="mechanical-ventilation"/>
    <w:p>
      <w:pPr>
        <w:pStyle w:val="Heading3"/>
      </w:pPr>
      <w:r>
        <w:t xml:space="preserve">Mechanical Ventilation: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0.26, 65.4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0.02, 7.50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24,579,154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5,013,380, 120,504,495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0.20, 61.4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0.19, 5.33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0.23, 7.74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0.11, 6.11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0.23, 7.71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0.30, 3.65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0.39, 8.15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respiratory-failure"/>
    <w:p>
      <w:pPr>
        <w:pStyle w:val="Heading3"/>
      </w:pPr>
      <w:r>
        <w:t xml:space="preserve">Respiratory Failure: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0.36, 5.12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0.19, 3.67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0.67, 4.19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0.45, 4.36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0.67, 4.76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0.29, 7.52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0.44, 9.34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0.40, 4.72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0.83, 3.92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1.01, 4.75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0.46, 4.39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6"/>
    <w:bookmarkStart w:id="27" w:name="sepsis"/>
    <w:p>
      <w:pPr>
        <w:pStyle w:val="Heading3"/>
      </w:pPr>
      <w:r>
        <w:t xml:space="preserve">Sepsis: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0.26, 4.04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0.63, 9.36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0.63, 6.24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0.55, 5.70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0.51, 6.22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0.07, 5.11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0.37, 4.96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0.14, 4.61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0.17, 5.88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45,813,678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21,124,753, 99,357,050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0.25, 3.56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0.62, 5.64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Start w:id="28" w:name="pneumonia"/>
    <w:p>
      <w:pPr>
        <w:pStyle w:val="Heading3"/>
      </w:pPr>
      <w:r>
        <w:t xml:space="preserve">Pneumonia: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0.54, 6.02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0.05, 3.20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0.13, 2.73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0.29, 7.16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0.49, 4.47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0.60, 4.49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0.51, 3.42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0.09, 4.64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8"/>
    <w:bookmarkStart w:id="29" w:name="acute-myocardial-infarction"/>
    <w:p>
      <w:pPr>
        <w:pStyle w:val="Heading3"/>
      </w:pPr>
      <w:r>
        <w:t xml:space="preserve">Acute Myocardial Infarction: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0.01, 6.36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0.05, 6.75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0.43, 75.4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719,226,191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18,731,645, 27,615,637,009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149,231,233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11,144,904, 1,998,219,166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1,087,654,125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36,697,740, 32,236,086,060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0.02, 88.0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0.01, 36.9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44,902,465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5,315,756, 379,293,421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40,296,568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7,140,056, 227,423,068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0.31, 3.80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115,424,687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20,235,568, 658,388,144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0.08, 7.27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0.36, 8.84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0.34, 7.75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0.24, 4.33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0.29, 34.4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9"/>
    <w:bookmarkStart w:id="30" w:name="stroke"/>
    <w:p>
      <w:pPr>
        <w:pStyle w:val="Heading3"/>
      </w:pPr>
      <w:r>
        <w:t xml:space="preserve">Stroke: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6,896,075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181,311, 262,288,768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0.00, 6.84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3.11, 2,782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0.52, 1,363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0.00, 72.8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987,240,000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18,966,679, 51,387,110,840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540,633,728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12,956,035, 22,559,743,134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692,422,958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11,980,879, 40,017,893,948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1.12, 34.5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0.01, 2.71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0.00, 4.56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0.04, 2,601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0.88, 83.4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0.07, 86.7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1.85, 1,490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0"/>
    <w:bookmarkStart w:id="31" w:name="any-major-joint-arthroplasty"/>
    <w:p>
      <w:pPr>
        <w:pStyle w:val="Heading3"/>
      </w:pPr>
      <w:r>
        <w:t xml:space="preserve">Any Major Joint Arthroplasty: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0.18, 3.05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0.64, 7.92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0.31, 56.4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0.10, 9.92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0.39, 7.11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0.14, 1.83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0.82, 8.34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0.12, 5.23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0.36, 3.49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0.58, 5.07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0.40, 3.38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0.02, 6.33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0.30, 4.33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1"/>
    <w:bookmarkEnd w:id="32"/>
    <w:bookmarkStart w:id="35" w:name="multivariable-linear-regression"/>
    <w:p>
      <w:pPr>
        <w:pStyle w:val="Heading2"/>
      </w:pPr>
      <w:r>
        <w:t xml:space="preserve">Multivariable Linear Regression:</w:t>
      </w:r>
    </w:p>
    <w:bookmarkStart w:id="33"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3"/>
    <w:bookmarkStart w:id="34" w:name="total-hospital-charges"/>
    <w:p>
      <w:pPr>
        <w:pStyle w:val="Heading3"/>
      </w:pPr>
      <w:r>
        <w:t xml:space="preserve">Total Hospital Charges: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-9,500, 39,794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-36,622, 14,225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-40,590, 251,019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-11,994, 90,085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-48,320, 27,231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-27,973, 35,605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-62,794, -3,658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-21,076, 36,240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-8,516, 42,254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-39,518, 210,025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-37,048, 30,823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3,089, 54,289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-12,939, 76,537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-39,715, 4,094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-52,427, -1,412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7,869, 70,079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16,737, 86,116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-23,710, 18,947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-62,833, -14,470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-60,762, 25,637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-34,443, 30,594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-43,335, 23,335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-11,227, 38,372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-16,885, 30,494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-14,744, 41,699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-32,623, 8,640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-17,518, 25,661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-41,173, 49,404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-20,130, 222,369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-25,852, 12,150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-23,543, 35,865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Hypothyroidism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-32,599, 14,384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-20,642, 77,499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Age &lt;50 Versus ≥50 Years on In-Hospital Outcomes in Women With Rheumatoid Arthritis</dc:title>
  <dc:creator>Eliza Aisha</dc:creator>
  <cp:keywords/>
  <dcterms:created xsi:type="dcterms:W3CDTF">2026-04-03T01:42:48Z</dcterms:created>
  <dcterms:modified xsi:type="dcterms:W3CDTF">2026-04-03T01:42:48Z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 National Inpatient Sample Analysis</vt:lpwstr>
  </property>
  <property fmtid="{D5CDD505-2E9C-101B-9397-08002B2CF9AE}" pid="12" name="toc-title">
    <vt:lpwstr>Table of contents</vt:lpwstr>
  </property>
</Properties>
</file>