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Cardiovascular Complications In Patients Undergoing Lung Transplantation: A National Inpatient Sample Study</w:t>
      </w:r>
    </w:p>
    <w:p>
      <w:pPr>
        <w:pStyle w:val="Author"/>
      </w:pPr>
      <w:r>
        <w:t xml:space="preserve">Eliza Aisha</w:t>
      </w:r>
    </w:p>
    <w:bookmarkStart w:id="20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</w:t>
      </w:r>
      <w:r>
        <w:t xml:space="preserve">: To evaluate the burden and outcomes of cardiovascular complications occurring during lung transplant hospitalization and identify patient- and hospital-level predictors associated with adverse clinical outcomes.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</w:t>
      </w:r>
      <w:r>
        <w:t xml:space="preserve">: Cross-sectional analysis of the National Inpatient Sample (NIS) from 2018 to 2021. The NIS is part of the Healthcare Cost and Utilization Project (HCUP) and provides a stratified sample of inpatient discharges from U.S. community hospitals across all payers.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  <w:r>
        <w:t xml:space="preserve"> </w:t>
      </w:r>
      <w:r>
        <w:t xml:space="preserve">Patients were included if they met the following criteria</w:t>
      </w:r>
    </w:p>
    <w:p>
      <w:pPr>
        <w:numPr>
          <w:ilvl w:val="1"/>
          <w:numId w:val="1002"/>
        </w:numPr>
      </w:pPr>
      <w:r>
        <w:t xml:space="preserve">Age ≥ 18 years</w:t>
      </w:r>
    </w:p>
    <w:p>
      <w:pPr>
        <w:numPr>
          <w:ilvl w:val="1"/>
          <w:numId w:val="1002"/>
        </w:numPr>
      </w:pPr>
      <w:r>
        <w:t xml:space="preserve">Undergoing lung transplant (ICD 10 PCS: 0BYC0Z0, 0BYC0Z1, 0BYC0Z2, 0BYD0Z0, 0BYD0Z1, 0BYD0Z2, 0BYF0Z0, 0BYF0Z1, 0BYF0Z2, 0BYG0Z0, 0BYG0Z1, 0BYG0Z2, 0BYH0Z0, 0BYH0Z1, 0BYH0Z2, 0BYJ0Z0, 0BYJ0Z1, 0BYJ0Z2, 0BYK0Z0, 0BYK0Z1, 0BYK0Z2, 0BYL0Z0, 0BYL0Z1, 0BYL0Z2, 0BYM0Z0, 0BYM0Z1, 0BYM0Z2)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Primary Outcomes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In-hospital all-cause mortality</w:t>
      </w:r>
    </w:p>
    <w:p>
      <w:pPr>
        <w:numPr>
          <w:ilvl w:val="1"/>
          <w:numId w:val="1003"/>
        </w:numPr>
      </w:pPr>
      <w:r>
        <w:t xml:space="preserve">MACE (Acute myocardial infarction OR Cardiac arrest OR Cardiac arrest OR Ventricular arrhythmia OR Revascularization OR Mechanical circulatory support)</w:t>
      </w:r>
    </w:p>
    <w:p>
      <w:pPr>
        <w:numPr>
          <w:ilvl w:val="1"/>
          <w:numId w:val="1003"/>
        </w:numPr>
      </w:pPr>
      <w:r>
        <w:t xml:space="preserve">Total hospital length of stay (days)</w:t>
      </w:r>
    </w:p>
    <w:p>
      <w:pPr>
        <w:numPr>
          <w:ilvl w:val="1"/>
          <w:numId w:val="1003"/>
        </w:numPr>
      </w:pPr>
      <w:r>
        <w:t xml:space="preserve">Total charge, inflation adjusted to 2021 ($)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Secondary Outcomes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Acute myocardial infarction</w:t>
      </w:r>
    </w:p>
    <w:p>
      <w:pPr>
        <w:numPr>
          <w:ilvl w:val="1"/>
          <w:numId w:val="1004"/>
        </w:numPr>
      </w:pPr>
      <w:r>
        <w:t xml:space="preserve">Ischemic stroke</w:t>
      </w:r>
    </w:p>
    <w:p>
      <w:pPr>
        <w:numPr>
          <w:ilvl w:val="1"/>
          <w:numId w:val="1004"/>
        </w:numPr>
      </w:pPr>
      <w:r>
        <w:t xml:space="preserve">Ventricular arrhythmia</w:t>
      </w:r>
    </w:p>
    <w:p>
      <w:pPr>
        <w:numPr>
          <w:ilvl w:val="1"/>
          <w:numId w:val="1004"/>
        </w:numPr>
      </w:pPr>
      <w:r>
        <w:t xml:space="preserve">Cardiogenic shock</w:t>
      </w:r>
    </w:p>
    <w:p>
      <w:pPr>
        <w:numPr>
          <w:ilvl w:val="1"/>
          <w:numId w:val="1004"/>
        </w:numPr>
      </w:pPr>
      <w:r>
        <w:t xml:space="preserve">Venous thromboembolism</w:t>
      </w:r>
    </w:p>
    <w:p>
      <w:pPr>
        <w:numPr>
          <w:ilvl w:val="1"/>
          <w:numId w:val="1004"/>
        </w:numPr>
      </w:pPr>
      <w:r>
        <w:t xml:space="preserve">Mechanical circulatory support</w:t>
      </w:r>
    </w:p>
    <w:p>
      <w:pPr>
        <w:numPr>
          <w:ilvl w:val="1"/>
          <w:numId w:val="1004"/>
        </w:numPr>
      </w:pPr>
      <w:r>
        <w:t xml:space="preserve">Sepsis</w:t>
      </w:r>
    </w:p>
    <w:p>
      <w:pPr>
        <w:numPr>
          <w:ilvl w:val="1"/>
          <w:numId w:val="1004"/>
        </w:numPr>
      </w:pPr>
      <w:r>
        <w:t xml:space="preserve">Acute kidney injury</w:t>
      </w:r>
    </w:p>
    <w:p>
      <w:pPr>
        <w:numPr>
          <w:ilvl w:val="1"/>
          <w:numId w:val="1004"/>
        </w:numPr>
      </w:pPr>
      <w:r>
        <w:t xml:space="preserve">Non-home discharge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 for Adjustment:</w:t>
      </w:r>
      <w:r>
        <w:t xml:space="preserve"> </w:t>
      </w:r>
      <w:r>
        <w:t xml:space="preserve">All models adjusted for the following:</w:t>
      </w:r>
    </w:p>
    <w:p>
      <w:pPr>
        <w:numPr>
          <w:ilvl w:val="1"/>
          <w:numId w:val="1005"/>
        </w:numPr>
      </w:pPr>
      <w:r>
        <w:t xml:space="preserve">Demographics: Age, sex, race, income, insurance, location of patient’s residence, hospital region, and hospital bedsize</w:t>
      </w:r>
    </w:p>
    <w:p>
      <w:pPr>
        <w:numPr>
          <w:ilvl w:val="1"/>
          <w:numId w:val="1005"/>
        </w:numPr>
      </w:pPr>
      <w:r>
        <w:t xml:space="preserve">Medical History: Chronic heart failure, diabetes mellitus, hypertension, chronic kidney disease, peripheral vascular disease, liver disease, valvular heart disease, anemia, and pulmonary circulatory disorders, grouped charlson comorbidity index.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Univariable Analysis:</w:t>
      </w:r>
    </w:p>
    <w:p>
      <w:pPr>
        <w:numPr>
          <w:ilvl w:val="2"/>
          <w:numId w:val="1007"/>
        </w:numPr>
      </w:pPr>
      <w:r>
        <w:t xml:space="preserve">Categorical variables: Compared using Pearson’s chi-square test with Rao &amp; Scott adjustment</w:t>
      </w:r>
    </w:p>
    <w:p>
      <w:pPr>
        <w:numPr>
          <w:ilvl w:val="2"/>
          <w:numId w:val="1007"/>
        </w:numPr>
      </w:pPr>
      <w:r>
        <w:t xml:space="preserve">Continuous variables: Analyzed using the design-based Kruskal–Wallis test, a non-parametric alternative suitable for survey-weighted data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Multivariable Analysis:</w:t>
      </w:r>
    </w:p>
    <w:p>
      <w:pPr>
        <w:numPr>
          <w:ilvl w:val="2"/>
          <w:numId w:val="1008"/>
        </w:numPr>
      </w:pPr>
      <w:r>
        <w:t xml:space="preserve">Binary outcomes (e.g., mortality): Survey-weighted logistic regression using the</w:t>
      </w:r>
      <w:r>
        <w:t xml:space="preserve"> </w:t>
      </w:r>
      <w:r>
        <w:rPr>
          <w:rStyle w:val="VerbatimChar"/>
        </w:rPr>
        <w:t xml:space="preserve">quasibinomial</w:t>
      </w:r>
      <w:r>
        <w:t xml:space="preserve"> </w:t>
      </w:r>
      <w:r>
        <w:t xml:space="preserve">family</w:t>
      </w:r>
    </w:p>
    <w:p>
      <w:pPr>
        <w:numPr>
          <w:ilvl w:val="2"/>
          <w:numId w:val="1008"/>
        </w:numPr>
      </w:pPr>
      <w:r>
        <w:t xml:space="preserve">Continuous outcomes (e.g., LOS, hospital charges): Survey-weighted linear regression using the</w:t>
      </w:r>
      <w:r>
        <w:t xml:space="preserve"> </w:t>
      </w:r>
      <w:r>
        <w:rPr>
          <w:rStyle w:val="VerbatimChar"/>
        </w:rPr>
        <w:t xml:space="preserve">gaussian</w:t>
      </w:r>
      <w:r>
        <w:t xml:space="preserve"> </w:t>
      </w:r>
      <w:r>
        <w:t xml:space="preserve">family</w:t>
      </w:r>
    </w:p>
    <w:p>
      <w:pPr>
        <w:numPr>
          <w:ilvl w:val="2"/>
          <w:numId w:val="1008"/>
        </w:numPr>
      </w:pPr>
      <w:r>
        <w:t xml:space="preserve">Results reported as adjusted odds ratios (aORs) or beta coefficients with 95% confidence intervals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statistical analyses were performed using the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20"/>
    <w:bookmarkStart w:id="23" w:name="descriptive-analysis"/>
    <w:p>
      <w:pPr>
        <w:pStyle w:val="Heading2"/>
      </w:pPr>
      <w:r>
        <w:t xml:space="preserve">Descriptive analysis</w:t>
      </w:r>
    </w:p>
    <w:bookmarkStart w:id="21" w:name="baseline-characteristics"/>
    <w:p>
      <w:pPr>
        <w:pStyle w:val="Heading3"/>
      </w:pPr>
      <w:r>
        <w:t xml:space="preserve">Baseline Characteristics: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7,650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(54, 67)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3,160 (41%)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4,490 (59%)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5,660 (75%)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725 (9.6%)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770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(3.2%)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1,405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1,870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2,025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2,220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3,455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475 (6.2%)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3,530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(2.4%)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1,855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1,615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2,555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1,625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7,425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7,650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1,450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3,550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670 (8.8%)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 (5.4%)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865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 (5.3%)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3,105 (41%)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1,385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3,080 (40%)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3,185 (42%)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</w:tbl>
    <w:bookmarkEnd w:id="21"/>
    <w:bookmarkStart w:id="22" w:name="outcomes-table"/>
    <w:p>
      <w:pPr>
        <w:pStyle w:val="Heading3"/>
      </w:pPr>
      <w:r>
        <w:t xml:space="preserve">Outcomes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7,650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Died during 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380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(14, 41)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783,596 (531,083, 1,355,569)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Major adverse cardiovascular events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2,815 (37%)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Ischemic 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3,620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Cardiogenic 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805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Ventricular arrhythmias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380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Venous thromboembolism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1,825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915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Mechanical circulatory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1,890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380 (5.0%)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</w:tbl>
    <w:bookmarkEnd w:id="22"/>
    <w:bookmarkEnd w:id="23"/>
    <w:bookmarkStart w:id="35" w:name="multivariable-logistic-regression"/>
    <w:p>
      <w:pPr>
        <w:pStyle w:val="Heading2"/>
      </w:pPr>
      <w:r>
        <w:t xml:space="preserve">Multivariable Logistic Regression:</w:t>
      </w:r>
    </w:p>
    <w:bookmarkStart w:id="24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0.41, 13.5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0.49, 2.55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0.14, 28.8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0.34, 5.51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0.37, 1.62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0.13, 1.85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0.31, 12.1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0.42, 4.10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0.54, 3.60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0.74, 3.24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1.13, 5.90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0.16, 1.91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3.10, 12.0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4"/>
    <w:bookmarkStart w:id="25" w:name="major-adverse-cardiovascular-events"/>
    <w:p>
      <w:pPr>
        <w:pStyle w:val="Heading3"/>
      </w:pPr>
      <w:r>
        <w:t xml:space="preserve">Major Adverse Cardiovascular Events: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0.66, 3.43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0.97, 2.08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0.38, 7.38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0.75, 2.20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0.61, 3.19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1.29, 2.71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Start w:id="26" w:name="acute-myocardial-infarction"/>
    <w:p>
      <w:pPr>
        <w:pStyle w:val="Heading3"/>
      </w:pPr>
      <w:r>
        <w:t xml:space="preserve">Acute Myocardial Infarction: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0.69, 2.78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0.25, 2.22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0.29, 3.20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0.18, 1.93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0.17, 2.06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0.55, 4.17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0.08, 3.68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0.11, 34.3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0.47, 5.55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0.61, 5.52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0.21, 2.16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9,893,447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3,266,467, 29,965,191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92,931,385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48,302,879, 178,793,531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0.25, 2.30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0.11, 2.12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ischemic-stroke"/>
    <w:p>
      <w:pPr>
        <w:pStyle w:val="Heading3"/>
      </w:pPr>
      <w:r>
        <w:t xml:space="preserve">Ischemic Stroke: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0.22, 2.44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0.85, 5.19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0.08, 10.9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0.07, 0.84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0.32, 2.35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0.47, 2.91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0.22, 2.83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0.21, 23.4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0.24, 2.31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0.51, 3.66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0.27, 2.29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11,982,887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5,249,374, 27,353,656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70,220,866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36,928,971, 133,525,789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0.49, 1.86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0.05, 0.59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0.28, 1.98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1.03, 5.02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Start w:id="28" w:name="cardiogenic-shock"/>
    <w:p>
      <w:pPr>
        <w:pStyle w:val="Heading3"/>
      </w:pPr>
      <w:r>
        <w:t xml:space="preserve">Cardiogenic Shock: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0.31, 4.64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0.81, 2.69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0.43, 13.4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0.45, 3.15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0.82, 2.40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0.85, 2.67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0.09, 1.81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0.78, 2.69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0.30, 2.01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0.43, 0.89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1.93, 5.07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0.60, 2.49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1.26, 3.63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8"/>
    <w:bookmarkStart w:id="29" w:name="ventricular-arrhythmias"/>
    <w:p>
      <w:pPr>
        <w:pStyle w:val="Heading3"/>
      </w:pPr>
      <w:r>
        <w:t xml:space="preserve">Ventricular Arrhythmias: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0.13, 3.50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0.78, 3.69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0.74, 3.19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0.25, 5.55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0.61, 3.18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0.57, 2.76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0.58, 2.78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0.35, 3.33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0.54, 6.37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1.11, 3.87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0.55, 7.30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0.49, 2.30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0.43, 2.03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0.76, 3.04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0.83, 5.12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0.88, 3.71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0.03, 2.15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9"/>
    <w:bookmarkStart w:id="30" w:name="venous-thromboembolism"/>
    <w:p>
      <w:pPr>
        <w:pStyle w:val="Heading3"/>
      </w:pPr>
      <w:r>
        <w:t xml:space="preserve">Venous Thromboembolism: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0.13, 2.18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1.18, 2.45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0.22, 6.14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0.86, 3.89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0.95, 2.18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0.85, 2.05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0.89, 2.58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0.95, 2.59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0"/>
    <w:bookmarkStart w:id="31" w:name="sepsis"/>
    <w:p>
      <w:pPr>
        <w:pStyle w:val="Heading3"/>
      </w:pPr>
      <w:r>
        <w:t xml:space="preserve">Sepsis: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0.05, 3.38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0.84, 3.02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0.13, 10.6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0.22, 2.00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0.08, 1.97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0.35, 2.40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0.65, 2.30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0.30, 0.64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1.57, 4.87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1.95, 5.69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0.37, 0.79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1"/>
    <w:bookmarkStart w:id="32" w:name="acute-kidney-injury"/>
    <w:p>
      <w:pPr>
        <w:pStyle w:val="Heading3"/>
      </w:pPr>
      <w:r>
        <w:t xml:space="preserve">Acute Kidney Injury: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1.32, 2.72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0.26, 5.51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0.56, 2.10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0.86, 2.05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0.70, 2.10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480,487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62,773, 3,677,827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2.87, 8.00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1.34, 2.91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2"/>
    <w:bookmarkStart w:id="33" w:name="mechanical-circulatory-support"/>
    <w:p>
      <w:pPr>
        <w:pStyle w:val="Heading3"/>
      </w:pPr>
      <w:r>
        <w:t xml:space="preserve">Mechanical Circulatory Support: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0.91, 6.67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1.11, 2.61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0.17, 5.46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0.90, 2.71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0.75, 2.05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0.86, 2.03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0.41, 3.72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1.00, 2.25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0.96, 2.27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3"/>
    <w:bookmarkStart w:id="34" w:name="non-home-discharge"/>
    <w:p>
      <w:pPr>
        <w:pStyle w:val="Heading3"/>
      </w:pPr>
      <w:r>
        <w:t xml:space="preserve">Non-Home Discharge: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0.41, 13.5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0.49, 2.55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0.14, 28.8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0.34, 5.51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0.37, 1.62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0.13, 1.85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0.31, 12.1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0.42, 4.10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0.54, 3.60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0.74, 3.24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1.13, 5.90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0.16, 1.91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3.10, 12.0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4"/>
    <w:bookmarkEnd w:id="35"/>
    <w:bookmarkStart w:id="38" w:name="multivariable-linear-regression"/>
    <w:p>
      <w:pPr>
        <w:pStyle w:val="Heading2"/>
      </w:pPr>
      <w:r>
        <w:t xml:space="preserve">Multivariable Linear Regression:</w:t>
      </w:r>
    </w:p>
    <w:bookmarkStart w:id="36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-5.0, 3.3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-17, -1.5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1.3, 14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2.5, 17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-31, 7.5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-4.4, 24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-0.23, 0.20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-8.9, 3.3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-12, -0.51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-8.8, 3.2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-7.9, 9.2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-4.2, 4.6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-15, 5.0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-8.3, 3.5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-9.7, 1.0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-12, 0.75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-2.5, 15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5.8, 21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-2.9, 5.7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-17, -7.4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-9.8, 0.01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-2.9, 13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-14, 4.8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-1.5, 17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-1.4, 16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-7.8, 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6"/>
    <w:bookmarkStart w:id="37" w:name="total-hospital-charges"/>
    <w:p>
      <w:pPr>
        <w:pStyle w:val="Heading3"/>
      </w:pPr>
      <w:r>
        <w:t xml:space="preserve">Total hospital charges: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-125,258, 115,252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-71,371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-399,583, 256,840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-31,010, 290,105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281,544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1,762, 561,327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-362,407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-790,393, 65,580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-308,907, 385,872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-10,309, 1,274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-143,126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-310,697, 24,444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-256,354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-425,556, -87,153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-117,297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-319,714, 85,119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111,884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-163,327, 387,096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95,983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-25,703, 217,669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-87,173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-429,674, 255,328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685,727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460,739, 910,715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-147,973, 137,417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514,103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175,927, 852,279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-32,356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-409,210, 344,498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185,817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-4,966, 376,601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-76,825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-210,445, 56,796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201,495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-11,346, 414,335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-312,006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-450,205, -173,807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-206,997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-373,358, -40,635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161,831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-40,847, 364,509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382,743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89,806, 675,680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-78,827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-350,960, 193,305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205,835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-49,138, 460,809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-19,967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-219,751, 179,817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-140,090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-258,667, -21,513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Cardiovascular Complications In Patients Undergoing Lung Transplantation: A National Inpatient Sample Study</dc:title>
  <dc:creator>Eliza Aisha</dc:creator>
  <cp:keywords/>
  <dcterms:created xsi:type="dcterms:W3CDTF">2026-02-20T15:43:13Z</dcterms:created>
  <dcterms:modified xsi:type="dcterms:W3CDTF">2026-02-20T15:43:13Z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