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Age (&lt;50 years and &gt;50 years ) on Outcomes in Women with SLE</w:t>
      </w:r>
    </w:p>
    <w:p>
      <w:pPr>
        <w:pStyle w:val="Subtitle"/>
      </w:pPr>
      <w:r>
        <w:t xml:space="preserve">A National Inpatient Sample Analysis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impact of age on outcomes in women with SLE.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Inclusion Criteria: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Sex = female</w:t>
      </w:r>
    </w:p>
    <w:p>
      <w:pPr>
        <w:numPr>
          <w:ilvl w:val="1"/>
          <w:numId w:val="1002"/>
        </w:numPr>
      </w:pPr>
      <w:r>
        <w:t xml:space="preserve">Diagnosis of SLE, using ICD 10 code: M32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Exposure:</w:t>
      </w:r>
    </w:p>
    <w:p>
      <w:pPr>
        <w:pStyle w:val="Compact"/>
        <w:numPr>
          <w:ilvl w:val="1"/>
          <w:numId w:val="1003"/>
        </w:numPr>
      </w:pPr>
      <w:r>
        <w:t xml:space="preserve">Age categories: &lt;50 and &gt;50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In-hospital all-cause mortality</w:t>
      </w:r>
    </w:p>
    <w:p>
      <w:pPr>
        <w:numPr>
          <w:ilvl w:val="1"/>
          <w:numId w:val="1004"/>
        </w:numPr>
      </w:pPr>
      <w:r>
        <w:t xml:space="preserve">Total hospital length of stay (days)</w:t>
      </w:r>
    </w:p>
    <w:p>
      <w:pPr>
        <w:numPr>
          <w:ilvl w:val="1"/>
          <w:numId w:val="1004"/>
        </w:numPr>
      </w:pPr>
      <w:r>
        <w:t xml:space="preserve">Total charge, inflation adjusted to 2022 ($)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Patient Characteristics:: Race, income, insurance.</w:t>
      </w:r>
    </w:p>
    <w:p>
      <w:pPr>
        <w:numPr>
          <w:ilvl w:val="1"/>
          <w:numId w:val="1005"/>
        </w:numPr>
      </w:pPr>
      <w:r>
        <w:t xml:space="preserve">Hospital Characteristics: hospital region, hospital bedsize, hospital location and teaching status, day and type of admission.</w:t>
      </w:r>
    </w:p>
    <w:p>
      <w:pPr>
        <w:numPr>
          <w:ilvl w:val="1"/>
          <w:numId w:val="1005"/>
        </w:numPr>
      </w:pPr>
      <w:r>
        <w:t xml:space="preserve">Comorbidities: Chronic heart failure, diabetes mellitus, hypertension, chronic kidney disease, obesity, coronary artery disease, hyperlipidemia, anemia, chronic pulmonary disease, and antiphospholipid syndrome.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X3445da8e65317f0a249832619227ed6f0362c5e"/>
    <w:p>
      <w:pPr>
        <w:pStyle w:val="Heading2"/>
      </w:pPr>
      <w:r>
        <w:t xml:space="preserve">Analysis 1 (Assessing in-hospital outcomes in patients admitted with a principal diagnosis of SLE)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48,390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&gt;50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10,565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(27, 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(25, 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(53,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37,335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29,060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8,275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8,765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1,825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45,910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35,955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9,955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17,845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14,270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11,635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9,400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7,945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7,825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19,140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15,530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16,675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14,995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6,330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5,100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8,240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6,355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9,965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7,760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15,975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4,455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7,735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29,035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23,360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11,935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3,040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7,420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1,300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5,830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4,200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1,630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41,260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32,840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8,420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3,855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10,800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8,535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2,265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3,180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10,670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7,580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8,145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5,495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2,650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1,320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Hypothyroidism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9,075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Antiphospholipid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3,725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3,060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Lupus nephritis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20,730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18,025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2,705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20,275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17,380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20,445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7,670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48,390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&gt;50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10,565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48,245 (26,909, 90,221)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47,911 (26,806, 88,454)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50,559 (27,533, 97,789)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3,010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2,315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Hemorrhagic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3,780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2,340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48,390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37,825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10,565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Venous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1,620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490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3,455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2,620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14,010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10,795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test; NA</w:t>
            </w:r>
          </w:p>
        </w:tc>
      </w:tr>
    </w:tbl>
    <w:bookmarkEnd w:id="22"/>
    <w:bookmarkEnd w:id="23"/>
    <w:bookmarkStart w:id="31" w:name="X94792e66d8e068b2c2b7d9ddd04b4af53768856"/>
    <w:p>
      <w:pPr>
        <w:pStyle w:val="Heading2"/>
      </w:pPr>
      <w:r>
        <w:t xml:space="preserve">Analysis 2 (Using SLE as a comorbditiy: assessing complications/causes of admission; Reference paper:</w:t>
      </w:r>
    </w:p>
    <w:p>
      <w:pPr>
        <w:pStyle w:val="FirstParagraph"/>
      </w:pPr>
      <w:hyperlink r:id="rId24">
        <w:r>
          <w:rPr>
            <w:rStyle w:val="Hyperlink"/>
          </w:rPr>
          <w:t xml:space="preserve">Manadan et al., 2020</w:t>
        </w:r>
      </w:hyperlink>
      <w:r>
        <w:t xml:space="preserve">)</w:t>
      </w:r>
    </w:p>
    <w:bookmarkStart w:id="25" w:name="baseline-characteristics-1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929,825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389,135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&gt;50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540,690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(39,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(57,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727,170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302,180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424,990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202,655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86,955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115,700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131,975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52,410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79,565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796,735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336,250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460,485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314,225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143,120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171,105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233,935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97,015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136,920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206,760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83,445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123,315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162,405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60,410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101,995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260,635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145,070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187,205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130,600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56,605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463,510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103,140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360,370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17,465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9,735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7,730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184,175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72,180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111,995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164,150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65,815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98,335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409,730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176,945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232,785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171,770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74,195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97,575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493,160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219,100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274,060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252,375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99,775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152,600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184,290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70,260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114,030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55,170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17,010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38,160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156,475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57,455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99,020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718,180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314,670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403,510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137,975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37,660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100,315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175,085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80,585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94,500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266,805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49,755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217,050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201,860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54,020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147,840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269,900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112,380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157,520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196,830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79,935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116,895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143,920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19,950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123,970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272,705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78,675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194,030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105,915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30,230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75,685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35,555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6,765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28,790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Hypothyroidism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179,040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42,325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136,715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262,995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169,850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Antiphospholipid syndrome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50,220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29,330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20,890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Lupus nephritis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35,515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246,385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146,890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99,495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683,440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242,245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441,195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5"/>
    <w:bookmarkStart w:id="26" w:name="outcomes-table-1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929,825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&lt;50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389,135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&gt;50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540,690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20,975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4,370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16,605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46,638 (25,930, 87,348)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42,488 (23,786, 80,607)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49,641 (27,769, 92,136)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6"/>
    <w:bookmarkStart w:id="27" w:name="top-causes-of-admission-overall"/>
    <w:p>
      <w:pPr>
        <w:pStyle w:val="Heading3"/>
      </w:pPr>
      <w:r>
        <w:t xml:space="preserve">Top causes of admission (overall):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"/>
        <w:gridCol w:w="990"/>
        <w:gridCol w:w="5310"/>
        <w:gridCol w:w="1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ICD-10-CM Diagnosis Definition</w:t>
            </w:r>
          </w:p>
        </w:tc>
        <w:tc>
          <w:tcPr/>
          <w:p>
            <w:pPr>
              <w:pStyle w:val="Compac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Other sepsis</w:t>
            </w:r>
          </w:p>
        </w:tc>
        <w:tc>
          <w:tcPr/>
          <w:p>
            <w:pPr>
              <w:pStyle w:val="Compact"/>
            </w:pPr>
            <w:r>
              <w:t xml:space="preserve">9.03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</w:pPr>
            <w:r>
              <w:t xml:space="preserve">5.30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U07.1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</w:pPr>
            <w:r>
              <w:t xml:space="preserve">1.88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E87</w:t>
            </w:r>
          </w:p>
        </w:tc>
        <w:tc>
          <w:tcPr/>
          <w:p>
            <w:pPr>
              <w:pStyle w:val="Compact"/>
            </w:pPr>
            <w:r>
              <w:t xml:space="preserve">Other disorders of fluid, electrolyte and acid-base balance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failure, not elsewhere classified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I63</w:t>
            </w:r>
          </w:p>
        </w:tc>
        <w:tc>
          <w:tcPr/>
          <w:p>
            <w:pPr>
              <w:pStyle w:val="Compact"/>
            </w:pPr>
            <w:r>
              <w:t xml:space="preserve">Cerebral infarction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27"/>
    <w:bookmarkStart w:id="28" w:name="top-causes-of-admission-age-50"/>
    <w:p>
      <w:pPr>
        <w:pStyle w:val="Heading3"/>
      </w:pPr>
      <w:r>
        <w:t xml:space="preserve">Top causes of admission (Age &lt; 50):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8"/>
        <w:gridCol w:w="655"/>
        <w:gridCol w:w="619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ICD-10-CM diagnosis 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Other sepsis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O99</w:t>
            </w:r>
          </w:p>
        </w:tc>
        <w:tc>
          <w:tcPr/>
          <w:p>
            <w:pPr>
              <w:pStyle w:val="Compact"/>
            </w:pPr>
            <w:r>
              <w:t xml:space="preserve">Other maternal diseases classifiable elsewhere but complicating pregnancy, childbirth and the puerperium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E87</w:t>
            </w:r>
          </w:p>
        </w:tc>
        <w:tc>
          <w:tcPr/>
          <w:p>
            <w:pPr>
              <w:pStyle w:val="Compact"/>
            </w:pPr>
            <w:r>
              <w:t xml:space="preserve">Other disorders of fluid, electrolyte and acid-base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T82</w:t>
            </w:r>
          </w:p>
        </w:tc>
        <w:tc>
          <w:tcPr/>
          <w:p>
            <w:pPr>
              <w:pStyle w:val="Compact"/>
            </w:pPr>
            <w:r>
              <w:t xml:space="preserve">Complications of cardiac and vascular prosthetic devices, implants and grafts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I16</w:t>
            </w:r>
          </w:p>
        </w:tc>
        <w:tc>
          <w:tcPr/>
          <w:p>
            <w:pPr>
              <w:pStyle w:val="Compact"/>
            </w:pPr>
            <w:r>
              <w:t xml:space="preserve">Hypertensive crisis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T86</w:t>
            </w:r>
          </w:p>
        </w:tc>
        <w:tc>
          <w:tcPr/>
          <w:p>
            <w:pPr>
              <w:pStyle w:val="Compact"/>
            </w:pPr>
            <w:r>
              <w:t xml:space="preserve">Complications of transplanted organs and tissue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</w:tr>
    </w:tbl>
    <w:bookmarkEnd w:id="28"/>
    <w:bookmarkStart w:id="29" w:name="top-causes-of-admission-age-50-1"/>
    <w:p>
      <w:pPr>
        <w:pStyle w:val="Heading3"/>
      </w:pPr>
      <w:r>
        <w:t xml:space="preserve">Top causes of admission (Age &gt; 50):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8"/>
        <w:gridCol w:w="1177"/>
        <w:gridCol w:w="4816"/>
        <w:gridCol w:w="14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ICD-10 Code</w:t>
            </w:r>
          </w:p>
        </w:tc>
        <w:tc>
          <w:tcPr/>
          <w:p>
            <w:pPr>
              <w:pStyle w:val="Compact"/>
            </w:pPr>
            <w:r>
              <w:t xml:space="preserve">ICD-10-CM diagnosis 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Proportion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A41</w:t>
            </w:r>
          </w:p>
        </w:tc>
        <w:tc>
          <w:tcPr/>
          <w:p>
            <w:pPr>
              <w:pStyle w:val="Compact"/>
            </w:pPr>
            <w:r>
              <w:t xml:space="preserve">Other sepsis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I13</w:t>
            </w:r>
          </w:p>
        </w:tc>
        <w:tc>
          <w:tcPr/>
          <w:p>
            <w:pPr>
              <w:pStyle w:val="Compact"/>
            </w:pPr>
            <w:r>
              <w:t xml:space="preserve">Hypertensive heart and chronic kidney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N17</w:t>
            </w:r>
          </w:p>
        </w:tc>
        <w:tc>
          <w:tcPr/>
          <w:p>
            <w:pPr>
              <w:pStyle w:val="Compact"/>
            </w:pPr>
            <w:r>
              <w:t xml:space="preserve">Acute kidney failure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J18</w:t>
            </w:r>
          </w:p>
        </w:tc>
        <w:tc>
          <w:tcPr/>
          <w:p>
            <w:pPr>
              <w:pStyle w:val="Compact"/>
            </w:pPr>
            <w:r>
              <w:t xml:space="preserve">Pneumonia, unspecified organism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U07.1*</w:t>
            </w:r>
          </w:p>
        </w:tc>
        <w:tc>
          <w:tcPr/>
          <w:p>
            <w:pPr>
              <w:pStyle w:val="Compac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I21</w:t>
            </w:r>
          </w:p>
        </w:tc>
        <w:tc>
          <w:tcPr/>
          <w:p>
            <w:pPr>
              <w:pStyle w:val="Compact"/>
            </w:pPr>
            <w:r>
              <w:t xml:space="preserve">Acute myocardial infarction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M32</w:t>
            </w:r>
          </w:p>
        </w:tc>
        <w:tc>
          <w:tcPr/>
          <w:p>
            <w:pPr>
              <w:pStyle w:val="Compact"/>
            </w:pPr>
            <w:r>
              <w:t xml:space="preserve">Systemic lupus erythematosus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J96</w:t>
            </w:r>
          </w:p>
        </w:tc>
        <w:tc>
          <w:tcPr/>
          <w:p>
            <w:pPr>
              <w:pStyle w:val="Compact"/>
            </w:pPr>
            <w:r>
              <w:t xml:space="preserve">Respiratory failure, not elsewhere classified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J44</w:t>
            </w:r>
          </w:p>
        </w:tc>
        <w:tc>
          <w:tcPr/>
          <w:p>
            <w:pPr>
              <w:pStyle w:val="Compact"/>
            </w:pPr>
            <w:r>
              <w:t xml:space="preserve">Other chronic obstructive pulmonary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I11</w:t>
            </w:r>
          </w:p>
        </w:tc>
        <w:tc>
          <w:tcPr/>
          <w:p>
            <w:pPr>
              <w:pStyle w:val="Compact"/>
            </w:pPr>
            <w:r>
              <w:t xml:space="preserve">Hypertensive heart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</w:tr>
    </w:tbl>
    <w:bookmarkEnd w:id="29"/>
    <w:bookmarkStart w:id="30" w:name="top-causes-of-admission-leading-to-death"/>
    <w:p>
      <w:pPr>
        <w:pStyle w:val="Heading3"/>
      </w:pPr>
      <w:r>
        <w:t xml:space="preserve">Top causes of admission leading to death: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crjournals.onlinelibrary.wiley.com/doi/10.1002/acr2.111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crjournals.onlinelibrary.wiley.com/doi/10.1002/acr2.111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Age (&lt;50 years and &gt;50 years ) on Outcomes in Women with SLE</dc:title>
  <dc:creator>Eliza Aisha</dc:creator>
  <cp:keywords/>
  <dcterms:created xsi:type="dcterms:W3CDTF">2026-03-27T18:35:10Z</dcterms:created>
  <dcterms:modified xsi:type="dcterms:W3CDTF">2026-03-27T18:35:10Z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Inpatient Sample Analysis</vt:lpwstr>
  </property>
  <property fmtid="{D5CDD505-2E9C-101B-9397-08002B2CF9AE}" pid="12" name="toc-title">
    <vt:lpwstr>Table of contents</vt:lpwstr>
  </property>
</Properties>
</file>