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Age &lt;50 Versus ≥50 Years on In-Hospital Outcomes in Women with SLE</w:t>
      </w:r>
    </w:p>
    <w:p>
      <w:pPr>
        <w:pStyle w:val="Subtitle"/>
      </w:pPr>
      <w:r>
        <w:t xml:space="preserve">A National Inpatient Sample Analysis</w:t>
      </w:r>
    </w:p>
    <w:p>
      <w:pPr>
        <w:pStyle w:val="Author"/>
      </w:pPr>
      <w:r>
        <w:t xml:space="preserve">Eliza Aisha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</w:t>
      </w:r>
      <w:r>
        <w:t xml:space="preserve">: To evaluate the impact of age on outcomes in women with SLE.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</w:t>
      </w:r>
      <w:r>
        <w:t xml:space="preserve">: Cross-sectional analysis of the National Inpatient Sample (NIS) from 2017 to 2022. The NIS is part of the Healthcare Cost and Utilization Project (HCUP) and provides a stratified sample of inpatient discharges from U.S. community hospitals across all payers.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Inclusion Criteria:</w:t>
      </w:r>
    </w:p>
    <w:p>
      <w:pPr>
        <w:numPr>
          <w:ilvl w:val="1"/>
          <w:numId w:val="1002"/>
        </w:numPr>
      </w:pPr>
      <w:r>
        <w:t xml:space="preserve">Age ≥ 18 years</w:t>
      </w:r>
    </w:p>
    <w:p>
      <w:pPr>
        <w:numPr>
          <w:ilvl w:val="1"/>
          <w:numId w:val="1002"/>
        </w:numPr>
      </w:pPr>
      <w:r>
        <w:t xml:space="preserve">Sex = female</w:t>
      </w:r>
    </w:p>
    <w:p>
      <w:pPr>
        <w:numPr>
          <w:ilvl w:val="1"/>
          <w:numId w:val="1002"/>
        </w:numPr>
      </w:pPr>
      <w:r>
        <w:t xml:space="preserve">Diagnosis of SLE, using ICD 10 code: M32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Exposure:</w:t>
      </w:r>
    </w:p>
    <w:p>
      <w:pPr>
        <w:pStyle w:val="Compact"/>
        <w:numPr>
          <w:ilvl w:val="1"/>
          <w:numId w:val="1003"/>
        </w:numPr>
      </w:pPr>
      <w:r>
        <w:t xml:space="preserve">Age categories: &lt;50 and ≥50 years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In-hospital all-cause mortality</w:t>
      </w:r>
    </w:p>
    <w:p>
      <w:pPr>
        <w:numPr>
          <w:ilvl w:val="1"/>
          <w:numId w:val="1004"/>
        </w:numPr>
      </w:pPr>
      <w:r>
        <w:t xml:space="preserve">Total hospital length of stay (days)</w:t>
      </w:r>
    </w:p>
    <w:p>
      <w:pPr>
        <w:numPr>
          <w:ilvl w:val="1"/>
          <w:numId w:val="1004"/>
        </w:numPr>
      </w:pPr>
      <w:r>
        <w:t xml:space="preserve">Total charge, inflation adjusted to 2022 ($)</w:t>
      </w:r>
    </w:p>
    <w:p>
      <w:pPr>
        <w:numPr>
          <w:ilvl w:val="1"/>
          <w:numId w:val="1004"/>
        </w:numPr>
      </w:pPr>
      <w:r>
        <w:t xml:space="preserve">Non-home discharge</w:t>
      </w:r>
    </w:p>
    <w:p>
      <w:pPr>
        <w:numPr>
          <w:ilvl w:val="1"/>
          <w:numId w:val="1004"/>
        </w:numPr>
      </w:pPr>
      <w:r>
        <w:t xml:space="preserve">Mechanical ventilation</w:t>
      </w:r>
    </w:p>
    <w:p>
      <w:pPr>
        <w:numPr>
          <w:ilvl w:val="1"/>
          <w:numId w:val="1004"/>
        </w:numPr>
      </w:pPr>
      <w:r>
        <w:t xml:space="preserve">Respiratory failure</w:t>
      </w:r>
    </w:p>
    <w:p>
      <w:pPr>
        <w:numPr>
          <w:ilvl w:val="1"/>
          <w:numId w:val="1004"/>
        </w:numPr>
      </w:pPr>
      <w:r>
        <w:t xml:space="preserve">Deep vein thrombosis</w:t>
      </w:r>
    </w:p>
    <w:p>
      <w:pPr>
        <w:numPr>
          <w:ilvl w:val="1"/>
          <w:numId w:val="1004"/>
        </w:numPr>
      </w:pPr>
      <w:r>
        <w:t xml:space="preserve">Acute renal failure</w:t>
      </w:r>
    </w:p>
    <w:p>
      <w:pPr>
        <w:numPr>
          <w:ilvl w:val="1"/>
          <w:numId w:val="1004"/>
        </w:numPr>
      </w:pPr>
      <w:r>
        <w:t xml:space="preserve">Dialysis-requiring acute renal failure</w:t>
      </w:r>
    </w:p>
    <w:p>
      <w:pPr>
        <w:numPr>
          <w:ilvl w:val="1"/>
          <w:numId w:val="1004"/>
        </w:numPr>
      </w:pPr>
      <w:r>
        <w:t xml:space="preserve">Top causes of admission by principal diagnosis (by diagnosis category and by specific ICD-10 codes)</w:t>
      </w:r>
    </w:p>
    <w:p>
      <w:pPr>
        <w:numPr>
          <w:ilvl w:val="1"/>
          <w:numId w:val="1004"/>
        </w:numPr>
      </w:pPr>
      <w:r>
        <w:t xml:space="preserve">Top causes of admission leading to in-hospital mortality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 for Adjustment:</w:t>
      </w:r>
      <w:r>
        <w:t xml:space="preserve"> </w:t>
      </w:r>
      <w:r>
        <w:t xml:space="preserve">All models adjusted for the following:</w:t>
      </w:r>
    </w:p>
    <w:p>
      <w:pPr>
        <w:numPr>
          <w:ilvl w:val="1"/>
          <w:numId w:val="1005"/>
        </w:numPr>
      </w:pPr>
      <w:r>
        <w:t xml:space="preserve">Patient Characteristics:: Race, income, insurance.</w:t>
      </w:r>
    </w:p>
    <w:p>
      <w:pPr>
        <w:numPr>
          <w:ilvl w:val="1"/>
          <w:numId w:val="1005"/>
        </w:numPr>
      </w:pPr>
      <w:r>
        <w:t xml:space="preserve">Hospital Characteristics: Hospital region, hospital bedsize, hospital location and teaching status, and type of admission.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Univariable Analysis:</w:t>
      </w:r>
    </w:p>
    <w:p>
      <w:pPr>
        <w:numPr>
          <w:ilvl w:val="2"/>
          <w:numId w:val="1007"/>
        </w:numPr>
      </w:pPr>
      <w:r>
        <w:t xml:space="preserve">Categorical variables: Compared using Pearson’s chi-square test with Rao &amp; Scott adjustment</w:t>
      </w:r>
    </w:p>
    <w:p>
      <w:pPr>
        <w:numPr>
          <w:ilvl w:val="2"/>
          <w:numId w:val="1007"/>
        </w:numPr>
      </w:pPr>
      <w:r>
        <w:t xml:space="preserve">Continuous variables: Analyzed using the design-based Kruskal–Wallis test, a non-parametric alternative suitable for survey-weighted data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Multivariable Analysis:</w:t>
      </w:r>
    </w:p>
    <w:p>
      <w:pPr>
        <w:numPr>
          <w:ilvl w:val="2"/>
          <w:numId w:val="1008"/>
        </w:numPr>
      </w:pPr>
      <w:r>
        <w:t xml:space="preserve">Binary outcomes (e.g., mortality): Survey-weighted logistic regression using the</w:t>
      </w:r>
      <w:r>
        <w:t xml:space="preserve"> </w:t>
      </w:r>
      <w:r>
        <w:rPr>
          <w:rStyle w:val="VerbatimChar"/>
        </w:rPr>
        <w:t xml:space="preserve">quasibinomial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Continuous outcomes (e.g., LOS, hospital charges): Survey-weighted linear regression using the</w:t>
      </w:r>
      <w:r>
        <w:t xml:space="preserve"> </w:t>
      </w:r>
      <w:r>
        <w:rPr>
          <w:rStyle w:val="VerbatimChar"/>
        </w:rPr>
        <w:t xml:space="preserve">gaussian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paper:</w:t>
      </w:r>
      <w:r>
        <w:t xml:space="preserve"> </w:t>
      </w:r>
      <w:hyperlink r:id="rId20">
        <w:r>
          <w:rPr>
            <w:rStyle w:val="Hyperlink"/>
          </w:rPr>
          <w:t xml:space="preserve">Manadan et al., 2020</w:t>
        </w:r>
      </w:hyperlink>
    </w:p>
    <w:bookmarkEnd w:id="21"/>
    <w:bookmarkStart w:id="24" w:name="descriptive-analysis"/>
    <w:p>
      <w:pPr>
        <w:pStyle w:val="Heading2"/>
      </w:pPr>
      <w:r>
        <w:t xml:space="preserve">Descriptive analysis:</w:t>
      </w:r>
    </w:p>
    <w:bookmarkStart w:id="22" w:name="baseline-characteristics"/>
    <w:p>
      <w:pPr>
        <w:pStyle w:val="Heading3"/>
      </w:pPr>
      <w:r>
        <w:t xml:space="preserve">Baseline Characteristics: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929,825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&lt;50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389,135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≥50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540,690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448,240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130,230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318,010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280,185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149,145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131,040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128,995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73,095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55,900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53,615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28,000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25,615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131,975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52,410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79,565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796,735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336,250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460,485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314,225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143,120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171,105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233,935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97,015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136,920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206,760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83,445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123,315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162,405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60,410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101,995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260,635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145,070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115,565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187,205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130,600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56,605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463,510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103,140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360,370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17,465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9,735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7,730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184,175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72,180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111,995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164,150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65,815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98,335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409,730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176,945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232,785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171,770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74,195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97,575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493,160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219,100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274,060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252,375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99,775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152,600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184,290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70,260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114,030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55,170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17,010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38,160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156,475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57,455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99,020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718,180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314,670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403,510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137,975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37,660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100,315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175,085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80,585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94,500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266,805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49,755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217,050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201,860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54,020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147,840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269,900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112,380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157,520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196,830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79,935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116,895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143,920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19,950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123,970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272,705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78,675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194,030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105,730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11,170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94,560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155,065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75,575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79,490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262,995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93,145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169,850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404,965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185,240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219,725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Hypothyroidism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179,040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42,325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136,715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35,555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6,765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28,790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Prior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105,915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30,230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75,685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Prior 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50,860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10,895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39,965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Lupus nephritis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128,680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93,165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35,515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Antiphospholipid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50,220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29,330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20,890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</w:t>
            </w:r>
          </w:p>
        </w:tc>
      </w:tr>
    </w:tbl>
    <w:bookmarkEnd w:id="22"/>
    <w:bookmarkStart w:id="23" w:name="outcomes-table"/>
    <w:p>
      <w:pPr>
        <w:pStyle w:val="Heading3"/>
      </w:pPr>
      <w:r>
        <w:t xml:space="preserve">Outcomes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929,825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&lt;50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389,135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≥50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540,690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20,975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4,370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16,605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(2.0, 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46,638 (25,930, 87,348)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42,488 (23,786, 80,607)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49,641 (27,769, 92,136)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61,580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27,235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34,345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35,725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13,080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22,645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Deep vein thrombosis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31,120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14,675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143,715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38,825 (10.0%)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104,890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renal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183,375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63,580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119,795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Dialysis-requiring acute renal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15,165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7,980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7,185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3"/>
    <w:bookmarkEnd w:id="24"/>
    <w:bookmarkStart w:id="32" w:name="multivariable-logistic-regression"/>
    <w:p>
      <w:pPr>
        <w:pStyle w:val="Heading2"/>
      </w:pPr>
      <w:r>
        <w:t xml:space="preserve">Multivariable Logistic Regression:</w:t>
      </w:r>
    </w:p>
    <w:bookmarkStart w:id="25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≥50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2.54, 3.00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1.52, 2.31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2.47, 3.27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non-home-discharge"/>
    <w:p>
      <w:pPr>
        <w:pStyle w:val="Heading3"/>
      </w:pPr>
      <w:r>
        <w:t xml:space="preserve">Non-Home Discharge: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≥50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2.44, 2.86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mechanical-ventilation"/>
    <w:p>
      <w:pPr>
        <w:pStyle w:val="Heading3"/>
      </w:pPr>
      <w:r>
        <w:t xml:space="preserve">Mechanical Ventilation: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≥50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2.74, 3.41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deep-vein-thrombosis"/>
    <w:p>
      <w:pPr>
        <w:pStyle w:val="Heading3"/>
      </w:pPr>
      <w:r>
        <w:t xml:space="preserve">Deep Vein Thrombosis: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≥50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1.74, 2.37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1.93, 2.39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Start w:id="29" w:name="respiratory-failure"/>
    <w:p>
      <w:pPr>
        <w:pStyle w:val="Heading3"/>
      </w:pPr>
      <w:r>
        <w:t xml:space="preserve">Respiratory Failure: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≥50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1.96, 2.09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3.69, 4.16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Start w:id="30" w:name="acute-renal-failure"/>
    <w:p>
      <w:pPr>
        <w:pStyle w:val="Heading3"/>
      </w:pPr>
      <w:r>
        <w:t xml:space="preserve">Acute Renal Failure: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≥50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3.29, 3.64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0"/>
    <w:bookmarkStart w:id="31" w:name="dialysis-requiring-acute-renal-failure"/>
    <w:p>
      <w:pPr>
        <w:pStyle w:val="Heading3"/>
      </w:pPr>
      <w:r>
        <w:t xml:space="preserve">Dialysis-requiring Acute Renal Failure: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≥50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1.93, 2.34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1.57, 2.00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1.69, 2.30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1.61, 2.68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2.64, 3.73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1"/>
    <w:bookmarkEnd w:id="32"/>
    <w:bookmarkStart w:id="35" w:name="multivariable-linear-regression"/>
    <w:p>
      <w:pPr>
        <w:pStyle w:val="Heading2"/>
      </w:pPr>
      <w:r>
        <w:t xml:space="preserve">Multivariable Linear Regression:</w:t>
      </w:r>
    </w:p>
    <w:bookmarkStart w:id="33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≥50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0.37, 0.54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-0.02, 0.19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-0.12, 0.05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-0.20, 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0.18, 0.35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0.21, 0.48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0.10, 0.29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-0.34, -0.11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-0.72, -0.54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-0.98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0.35, 0.61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3"/>
    <w:bookmarkStart w:id="34" w:name="total-hospital-charges"/>
    <w:p>
      <w:pPr>
        <w:pStyle w:val="Heading3"/>
      </w:pPr>
      <w:r>
        <w:t xml:space="preserve">Total Hospital Charges: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≥50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7,385, 10,211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5,553, 8,742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14,415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12,138, 16,692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16,373, 24,175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-1,089, 2,013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-2,731, 867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524, 5,044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-3,554, 274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1,395, 4,369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-7,645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-11,357, -3,932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16,568, 23,619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10,177, 14,234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34,533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30,909, 38,157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-11,680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-13,957, -9,402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-22,953, -18,476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25,256, 29,602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37,303, 41,292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-18,862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-20,632, -17,092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4"/>
    <w:bookmarkEnd w:id="35"/>
    <w:bookmarkStart w:id="39" w:name="X52062488d223ba4a376472a208b58518e22f9ae"/>
    <w:p>
      <w:pPr>
        <w:pStyle w:val="Heading2"/>
      </w:pPr>
      <w:r>
        <w:t xml:space="preserve">Top causes of admission (by diagnosis category):</w:t>
      </w:r>
    </w:p>
    <w:bookmarkStart w:id="36" w:name="overall"/>
    <w:p>
      <w:pPr>
        <w:pStyle w:val="Heading3"/>
      </w:pPr>
      <w:r>
        <w:t xml:space="preserve">Overall: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27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Primary diagnosis</w:t>
            </w:r>
          </w:p>
        </w:tc>
        <w:tc>
          <w:tcPr/>
          <w:p>
            <w:pPr>
              <w:pStyle w:val="Compact"/>
            </w:pPr>
            <w:r>
              <w:t xml:space="preserve">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Cardiovascular diseases</w:t>
            </w:r>
          </w:p>
        </w:tc>
        <w:tc>
          <w:tcPr/>
          <w:p>
            <w:pPr>
              <w:pStyle w:val="Compact"/>
            </w:pPr>
            <w:r>
              <w:t xml:space="preserve">148,040 (16%)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Musculoskeletal and connective tissue diseases</w:t>
            </w:r>
          </w:p>
        </w:tc>
        <w:tc>
          <w:tcPr/>
          <w:p>
            <w:pPr>
              <w:pStyle w:val="Compact"/>
            </w:pPr>
            <w:r>
              <w:t xml:space="preserve">102,800 (11%)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Infectious and parasitic diseases</w:t>
            </w:r>
          </w:p>
        </w:tc>
        <w:tc>
          <w:tcPr/>
          <w:p>
            <w:pPr>
              <w:pStyle w:val="Compact"/>
            </w:pPr>
            <w:r>
              <w:t xml:space="preserve">102,685 (11%)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digestive system</w:t>
            </w:r>
          </w:p>
        </w:tc>
        <w:tc>
          <w:tcPr/>
          <w:p>
            <w:pPr>
              <w:pStyle w:val="Compact"/>
            </w:pPr>
            <w:r>
              <w:t xml:space="preserve">94,765 (10%)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Injury and poisoning</w:t>
            </w:r>
          </w:p>
        </w:tc>
        <w:tc>
          <w:tcPr/>
          <w:p>
            <w:pPr>
              <w:pStyle w:val="Compact"/>
            </w:pPr>
            <w:r>
              <w:t xml:space="preserve">83,640 (9.0%)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respiratory system</w:t>
            </w:r>
          </w:p>
        </w:tc>
        <w:tc>
          <w:tcPr/>
          <w:p>
            <w:pPr>
              <w:pStyle w:val="Compact"/>
            </w:pPr>
            <w:r>
              <w:t xml:space="preserve">76,810 (8.3%)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genitourinary system</w:t>
            </w:r>
          </w:p>
        </w:tc>
        <w:tc>
          <w:tcPr/>
          <w:p>
            <w:pPr>
              <w:pStyle w:val="Compact"/>
            </w:pPr>
            <w:r>
              <w:t xml:space="preserve">53,275 (5.7%)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Endocrine, nutritional, and metabolic diseases</w:t>
            </w:r>
          </w:p>
        </w:tc>
        <w:tc>
          <w:tcPr/>
          <w:p>
            <w:pPr>
              <w:pStyle w:val="Compact"/>
            </w:pPr>
            <w:r>
              <w:t xml:space="preserve">43,165 (4.6%)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Pregnancy, childbirth, and puerperium</w:t>
            </w:r>
          </w:p>
        </w:tc>
        <w:tc>
          <w:tcPr/>
          <w:p>
            <w:pPr>
              <w:pStyle w:val="Compact"/>
            </w:pPr>
            <w:r>
              <w:t xml:space="preserve">42,035 (4.5%)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Hematologic and oncologic disorders</w:t>
            </w:r>
          </w:p>
        </w:tc>
        <w:tc>
          <w:tcPr/>
          <w:p>
            <w:pPr>
              <w:pStyle w:val="Compact"/>
            </w:pPr>
            <w:r>
              <w:t xml:space="preserve">41,355 (4.4%)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Symptoms, signs, and abnormal findings</w:t>
            </w:r>
          </w:p>
        </w:tc>
        <w:tc>
          <w:tcPr/>
          <w:p>
            <w:pPr>
              <w:pStyle w:val="Compact"/>
            </w:pPr>
            <w:r>
              <w:t xml:space="preserve">36,200 (3.9%)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nervous system</w:t>
            </w:r>
          </w:p>
        </w:tc>
        <w:tc>
          <w:tcPr/>
          <w:p>
            <w:pPr>
              <w:pStyle w:val="Compact"/>
            </w:pPr>
            <w:r>
              <w:t xml:space="preserve">31,620 (3.4%)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Mental, behavioral, and neurodevelopmental disorders</w:t>
            </w:r>
          </w:p>
        </w:tc>
        <w:tc>
          <w:tcPr/>
          <w:p>
            <w:pPr>
              <w:pStyle w:val="Compact"/>
            </w:pPr>
            <w:r>
              <w:t xml:space="preserve">24,635 (2.6%)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skin and subcutaneous tissue</w:t>
            </w:r>
          </w:p>
        </w:tc>
        <w:tc>
          <w:tcPr/>
          <w:p>
            <w:pPr>
              <w:pStyle w:val="Compact"/>
            </w:pPr>
            <w:r>
              <w:t xml:space="preserve">20,830 (2.2%)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Factors influencing health status and healthcare contact</w:t>
            </w:r>
          </w:p>
        </w:tc>
        <w:tc>
          <w:tcPr/>
          <w:p>
            <w:pPr>
              <w:pStyle w:val="Compact"/>
            </w:pPr>
            <w:r>
              <w:t xml:space="preserve">6,760 (0.7%)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eye, ear, and mastoid</w:t>
            </w:r>
          </w:p>
        </w:tc>
        <w:tc>
          <w:tcPr/>
          <w:p>
            <w:pPr>
              <w:pStyle w:val="Compact"/>
            </w:pPr>
            <w:r>
              <w:t xml:space="preserve">2,410 (0.3%)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Congenital malformations and chromosomal abnormalities</w:t>
            </w:r>
          </w:p>
        </w:tc>
        <w:tc>
          <w:tcPr/>
          <w:p>
            <w:pPr>
              <w:pStyle w:val="Compact"/>
            </w:pPr>
            <w:r>
              <w:t xml:space="preserve">910 (&lt;0.1%)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originating in the perinatal period</w:t>
            </w:r>
          </w:p>
        </w:tc>
        <w:tc>
          <w:tcPr/>
          <w:p>
            <w:pPr>
              <w:pStyle w:val="Compact"/>
            </w:pPr>
            <w:r>
              <w:t xml:space="preserve">0 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causes of morbidity</w:t>
            </w:r>
          </w:p>
        </w:tc>
        <w:tc>
          <w:tcPr/>
          <w:p>
            <w:pPr>
              <w:pStyle w:val="Compact"/>
            </w:pPr>
            <w:r>
              <w:t xml:space="preserve">0 (0%)</w:t>
            </w:r>
          </w:p>
        </w:tc>
      </w:tr>
    </w:tbl>
    <w:bookmarkEnd w:id="36"/>
    <w:bookmarkStart w:id="37" w:name="age-50"/>
    <w:p>
      <w:pPr>
        <w:pStyle w:val="Heading3"/>
      </w:pPr>
      <w:r>
        <w:t xml:space="preserve">Age &lt; 50: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27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Primary diagnosis</w:t>
            </w:r>
          </w:p>
        </w:tc>
        <w:tc>
          <w:tcPr/>
          <w:p>
            <w:pPr>
              <w:pStyle w:val="Compact"/>
            </w:pPr>
            <w:r>
              <w:t xml:space="preserve">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Musculoskeletal and connective tissue diseases</w:t>
            </w:r>
          </w:p>
        </w:tc>
        <w:tc>
          <w:tcPr/>
          <w:p>
            <w:pPr>
              <w:pStyle w:val="Compact"/>
            </w:pPr>
            <w:r>
              <w:t xml:space="preserve">51,160 (13%)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Cardiovascular diseases</w:t>
            </w:r>
          </w:p>
        </w:tc>
        <w:tc>
          <w:tcPr/>
          <w:p>
            <w:pPr>
              <w:pStyle w:val="Compact"/>
            </w:pPr>
            <w:r>
              <w:t xml:space="preserve">46,275 (12%)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Pregnancy, childbirth, and puerperium</w:t>
            </w:r>
          </w:p>
        </w:tc>
        <w:tc>
          <w:tcPr/>
          <w:p>
            <w:pPr>
              <w:pStyle w:val="Compact"/>
            </w:pPr>
            <w:r>
              <w:t xml:space="preserve">42,025 (11%)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Infectious and parasitic diseases</w:t>
            </w:r>
          </w:p>
        </w:tc>
        <w:tc>
          <w:tcPr/>
          <w:p>
            <w:pPr>
              <w:pStyle w:val="Compact"/>
            </w:pPr>
            <w:r>
              <w:t xml:space="preserve">39,950 (10%)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digestive system</w:t>
            </w:r>
          </w:p>
        </w:tc>
        <w:tc>
          <w:tcPr/>
          <w:p>
            <w:pPr>
              <w:pStyle w:val="Compact"/>
            </w:pPr>
            <w:r>
              <w:t xml:space="preserve">34,270 (8.8%)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Injury and poisoning</w:t>
            </w:r>
          </w:p>
        </w:tc>
        <w:tc>
          <w:tcPr/>
          <w:p>
            <w:pPr>
              <w:pStyle w:val="Compact"/>
            </w:pPr>
            <w:r>
              <w:t xml:space="preserve">30,640 (7.9%)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respiratory system</w:t>
            </w:r>
          </w:p>
        </w:tc>
        <w:tc>
          <w:tcPr/>
          <w:p>
            <w:pPr>
              <w:pStyle w:val="Compact"/>
            </w:pPr>
            <w:r>
              <w:t xml:space="preserve">23,355 (6.0%)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genitourinary system</w:t>
            </w:r>
          </w:p>
        </w:tc>
        <w:tc>
          <w:tcPr/>
          <w:p>
            <w:pPr>
              <w:pStyle w:val="Compact"/>
            </w:pPr>
            <w:r>
              <w:t xml:space="preserve">22,585 (5.8%)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Endocrine, nutritional, and metabolic diseases</w:t>
            </w:r>
          </w:p>
        </w:tc>
        <w:tc>
          <w:tcPr/>
          <w:p>
            <w:pPr>
              <w:pStyle w:val="Compact"/>
            </w:pPr>
            <w:r>
              <w:t xml:space="preserve">20,385 (5.2%)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Hematologic and oncologic disorders</w:t>
            </w:r>
          </w:p>
        </w:tc>
        <w:tc>
          <w:tcPr/>
          <w:p>
            <w:pPr>
              <w:pStyle w:val="Compact"/>
            </w:pPr>
            <w:r>
              <w:t xml:space="preserve">16,435 (4.2%)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Symptoms, signs, and abnormal findings</w:t>
            </w:r>
          </w:p>
        </w:tc>
        <w:tc>
          <w:tcPr/>
          <w:p>
            <w:pPr>
              <w:pStyle w:val="Compact"/>
            </w:pPr>
            <w:r>
              <w:t xml:space="preserve">15,425 (4.0%)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nervous system</w:t>
            </w:r>
          </w:p>
        </w:tc>
        <w:tc>
          <w:tcPr/>
          <w:p>
            <w:pPr>
              <w:pStyle w:val="Compact"/>
            </w:pPr>
            <w:r>
              <w:t xml:space="preserve">14,825 (3.8%)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Mental, behavioral, and neurodevelopmental disorders</w:t>
            </w:r>
          </w:p>
        </w:tc>
        <w:tc>
          <w:tcPr/>
          <w:p>
            <w:pPr>
              <w:pStyle w:val="Compact"/>
            </w:pPr>
            <w:r>
              <w:t xml:space="preserve">14,435 (3.7%)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skin and subcutaneous tissue</w:t>
            </w:r>
          </w:p>
        </w:tc>
        <w:tc>
          <w:tcPr/>
          <w:p>
            <w:pPr>
              <w:pStyle w:val="Compact"/>
            </w:pPr>
            <w:r>
              <w:t xml:space="preserve">9,190 (2.4%)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Factors influencing health status and healthcare contact</w:t>
            </w:r>
          </w:p>
        </w:tc>
        <w:tc>
          <w:tcPr/>
          <w:p>
            <w:pPr>
              <w:pStyle w:val="Compact"/>
            </w:pPr>
            <w:r>
              <w:t xml:space="preserve">1,630 (0.4%)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eye, ear, and mastoid</w:t>
            </w:r>
          </w:p>
        </w:tc>
        <w:tc>
          <w:tcPr/>
          <w:p>
            <w:pPr>
              <w:pStyle w:val="Compact"/>
            </w:pPr>
            <w:r>
              <w:t xml:space="preserve">1,040 (0.3%)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Congenital malformations and chromosomal abnormalities</w:t>
            </w:r>
          </w:p>
        </w:tc>
        <w:tc>
          <w:tcPr/>
          <w:p>
            <w:pPr>
              <w:pStyle w:val="Compact"/>
            </w:pPr>
            <w:r>
              <w:t xml:space="preserve">405 (0.1%)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originating in the perinatal period</w:t>
            </w:r>
          </w:p>
        </w:tc>
        <w:tc>
          <w:tcPr/>
          <w:p>
            <w:pPr>
              <w:pStyle w:val="Compact"/>
            </w:pPr>
            <w:r>
              <w:t xml:space="preserve">0 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causes of morbidity</w:t>
            </w:r>
          </w:p>
        </w:tc>
        <w:tc>
          <w:tcPr/>
          <w:p>
            <w:pPr>
              <w:pStyle w:val="Compact"/>
            </w:pPr>
            <w:r>
              <w:t xml:space="preserve">0 (0%)</w:t>
            </w:r>
          </w:p>
        </w:tc>
      </w:tr>
    </w:tbl>
    <w:bookmarkEnd w:id="37"/>
    <w:bookmarkStart w:id="38" w:name="age-50-1"/>
    <w:p>
      <w:pPr>
        <w:pStyle w:val="Heading3"/>
      </w:pPr>
      <w:r>
        <w:t xml:space="preserve">Age ≥50: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27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Primary diagnosis</w:t>
            </w:r>
          </w:p>
        </w:tc>
        <w:tc>
          <w:tcPr/>
          <w:p>
            <w:pPr>
              <w:pStyle w:val="Compact"/>
            </w:pPr>
            <w:r>
              <w:t xml:space="preserve">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Cardiovascular diseases</w:t>
            </w:r>
          </w:p>
        </w:tc>
        <w:tc>
          <w:tcPr/>
          <w:p>
            <w:pPr>
              <w:pStyle w:val="Compact"/>
            </w:pPr>
            <w:r>
              <w:t xml:space="preserve">101,765 (19%)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Infectious and parasitic diseases</w:t>
            </w:r>
          </w:p>
        </w:tc>
        <w:tc>
          <w:tcPr/>
          <w:p>
            <w:pPr>
              <w:pStyle w:val="Compact"/>
            </w:pPr>
            <w:r>
              <w:t xml:space="preserve">62,735 (12%)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digestive system</w:t>
            </w:r>
          </w:p>
        </w:tc>
        <w:tc>
          <w:tcPr/>
          <w:p>
            <w:pPr>
              <w:pStyle w:val="Compact"/>
            </w:pPr>
            <w:r>
              <w:t xml:space="preserve">60,495 (11%)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Injury and poisoning</w:t>
            </w:r>
          </w:p>
        </w:tc>
        <w:tc>
          <w:tcPr/>
          <w:p>
            <w:pPr>
              <w:pStyle w:val="Compact"/>
            </w:pPr>
            <w:r>
              <w:t xml:space="preserve">53,000 (9.8%)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respiratory system</w:t>
            </w:r>
          </w:p>
        </w:tc>
        <w:tc>
          <w:tcPr/>
          <w:p>
            <w:pPr>
              <w:pStyle w:val="Compact"/>
            </w:pPr>
            <w:r>
              <w:t xml:space="preserve">53,455 (9.9%)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Musculoskeletal and connective tissue diseases</w:t>
            </w:r>
          </w:p>
        </w:tc>
        <w:tc>
          <w:tcPr/>
          <w:p>
            <w:pPr>
              <w:pStyle w:val="Compact"/>
            </w:pPr>
            <w:r>
              <w:t xml:space="preserve">51,640 (9.6%)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genitourinary system</w:t>
            </w:r>
          </w:p>
        </w:tc>
        <w:tc>
          <w:tcPr/>
          <w:p>
            <w:pPr>
              <w:pStyle w:val="Compact"/>
            </w:pPr>
            <w:r>
              <w:t xml:space="preserve">30,690 (5.7%)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Hematologic and oncologic disorders</w:t>
            </w:r>
          </w:p>
        </w:tc>
        <w:tc>
          <w:tcPr/>
          <w:p>
            <w:pPr>
              <w:pStyle w:val="Compact"/>
            </w:pPr>
            <w:r>
              <w:t xml:space="preserve">24,920 (4.6%)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Endocrine, nutritional, and metabolic diseases</w:t>
            </w:r>
          </w:p>
        </w:tc>
        <w:tc>
          <w:tcPr/>
          <w:p>
            <w:pPr>
              <w:pStyle w:val="Compact"/>
            </w:pPr>
            <w:r>
              <w:t xml:space="preserve">22,780 (4.2%)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Symptoms, signs, and abnormal findings</w:t>
            </w:r>
          </w:p>
        </w:tc>
        <w:tc>
          <w:tcPr/>
          <w:p>
            <w:pPr>
              <w:pStyle w:val="Compact"/>
            </w:pPr>
            <w:r>
              <w:t xml:space="preserve">20,775 (3.8%)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nervous system</w:t>
            </w:r>
          </w:p>
        </w:tc>
        <w:tc>
          <w:tcPr/>
          <w:p>
            <w:pPr>
              <w:pStyle w:val="Compact"/>
            </w:pPr>
            <w:r>
              <w:t xml:space="preserve">16,795 (3.1%)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skin and subcutaneous tissue</w:t>
            </w:r>
          </w:p>
        </w:tc>
        <w:tc>
          <w:tcPr/>
          <w:p>
            <w:pPr>
              <w:pStyle w:val="Compact"/>
            </w:pPr>
            <w:r>
              <w:t xml:space="preserve">11,640 (2.2%)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Mental, behavioral, and neurodevelopmental disorders</w:t>
            </w:r>
          </w:p>
        </w:tc>
        <w:tc>
          <w:tcPr/>
          <w:p>
            <w:pPr>
              <w:pStyle w:val="Compact"/>
            </w:pPr>
            <w:r>
              <w:t xml:space="preserve">10,200 (1.9%)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Factors influencing health status and healthcare contact</w:t>
            </w:r>
          </w:p>
        </w:tc>
        <w:tc>
          <w:tcPr/>
          <w:p>
            <w:pPr>
              <w:pStyle w:val="Compact"/>
            </w:pPr>
            <w:r>
              <w:t xml:space="preserve">5,130 (0.9%)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eye, ear, and mastoid</w:t>
            </w:r>
          </w:p>
        </w:tc>
        <w:tc>
          <w:tcPr/>
          <w:p>
            <w:pPr>
              <w:pStyle w:val="Compact"/>
            </w:pPr>
            <w:r>
              <w:t xml:space="preserve">1,370 (0.3%)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Congenital malformations and chromosomal abnormalities</w:t>
            </w:r>
          </w:p>
        </w:tc>
        <w:tc>
          <w:tcPr/>
          <w:p>
            <w:pPr>
              <w:pStyle w:val="Compact"/>
            </w:pPr>
            <w:r>
              <w:t xml:space="preserve">505 (&lt;0.1%)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Pregnancy, childbirth, and puerperium</w:t>
            </w:r>
          </w:p>
        </w:tc>
        <w:tc>
          <w:tcPr/>
          <w:p>
            <w:pPr>
              <w:pStyle w:val="Compact"/>
            </w:pPr>
            <w:r>
              <w:t xml:space="preserve">10 (&lt;0.1%)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originating in the perinatal period</w:t>
            </w:r>
          </w:p>
        </w:tc>
        <w:tc>
          <w:tcPr/>
          <w:p>
            <w:pPr>
              <w:pStyle w:val="Compact"/>
            </w:pPr>
            <w:r>
              <w:t xml:space="preserve">0 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causes of morbidity</w:t>
            </w:r>
          </w:p>
        </w:tc>
        <w:tc>
          <w:tcPr/>
          <w:p>
            <w:pPr>
              <w:pStyle w:val="Compact"/>
            </w:pPr>
            <w:r>
              <w:t xml:space="preserve">0 (0%)</w:t>
            </w:r>
          </w:p>
        </w:tc>
      </w:tr>
    </w:tbl>
    <w:bookmarkEnd w:id="38"/>
    <w:bookmarkEnd w:id="39"/>
    <w:bookmarkStart w:id="43" w:name="X57ef432319b508fc29a88ca663e7668876d5f14"/>
    <w:p>
      <w:pPr>
        <w:pStyle w:val="Heading2"/>
      </w:pPr>
      <w:r>
        <w:t xml:space="preserve">Top causes of admission (by specific ICD-10 codes):</w:t>
      </w:r>
    </w:p>
    <w:bookmarkStart w:id="40" w:name="overall-1"/>
    <w:p>
      <w:pPr>
        <w:pStyle w:val="Heading3"/>
      </w:pPr>
      <w:r>
        <w:t xml:space="preserve">Overall: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7"/>
        <w:gridCol w:w="4668"/>
        <w:gridCol w:w="1167"/>
        <w:gridCol w:w="11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ICD-10 Code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Weighted Count</w:t>
            </w:r>
          </w:p>
        </w:tc>
        <w:tc>
          <w:tcPr/>
          <w:p>
            <w:pPr>
              <w:pStyle w:val="Compact"/>
            </w:pPr>
            <w:r>
              <w:t xml:space="preserve">Proportion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A41</w:t>
            </w:r>
          </w:p>
        </w:tc>
        <w:tc>
          <w:tcPr/>
          <w:p>
            <w:pPr>
              <w:pStyle w:val="Compact"/>
            </w:pPr>
            <w:r>
              <w:t xml:space="preserve">Sepsis</w:t>
            </w:r>
          </w:p>
        </w:tc>
        <w:tc>
          <w:tcPr/>
          <w:p>
            <w:pPr>
              <w:pStyle w:val="Compact"/>
            </w:pPr>
            <w:r>
              <w:t xml:space="preserve">82,870</w:t>
            </w:r>
          </w:p>
        </w:tc>
        <w:tc>
          <w:tcPr/>
          <w:p>
            <w:pPr>
              <w:pStyle w:val="Compact"/>
            </w:pPr>
            <w:r>
              <w:t xml:space="preserve">8.91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M32</w:t>
            </w:r>
          </w:p>
        </w:tc>
        <w:tc>
          <w:tcPr/>
          <w:p>
            <w:pPr>
              <w:pStyle w:val="Compact"/>
            </w:pPr>
            <w:r>
              <w:t xml:space="preserve">Systemic lupus erythematosus</w:t>
            </w:r>
          </w:p>
        </w:tc>
        <w:tc>
          <w:tcPr/>
          <w:p>
            <w:pPr>
              <w:pStyle w:val="Compact"/>
            </w:pPr>
            <w:r>
              <w:t xml:space="preserve">48,390</w:t>
            </w:r>
          </w:p>
        </w:tc>
        <w:tc>
          <w:tcPr/>
          <w:p>
            <w:pPr>
              <w:pStyle w:val="Compact"/>
            </w:pPr>
            <w:r>
              <w:t xml:space="preserve">5.20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I13</w:t>
            </w:r>
          </w:p>
        </w:tc>
        <w:tc>
          <w:tcPr/>
          <w:p>
            <w:pPr>
              <w:pStyle w:val="Compact"/>
            </w:pPr>
            <w:r>
              <w:t xml:space="preserve">Hypertensive heart and chronic kidney disease</w:t>
            </w:r>
          </w:p>
        </w:tc>
        <w:tc>
          <w:tcPr/>
          <w:p>
            <w:pPr>
              <w:pStyle w:val="Compact"/>
            </w:pPr>
            <w:r>
              <w:t xml:space="preserve">22,130</w:t>
            </w:r>
          </w:p>
        </w:tc>
        <w:tc>
          <w:tcPr/>
          <w:p>
            <w:pPr>
              <w:pStyle w:val="Compact"/>
            </w:pPr>
            <w:r>
              <w:t xml:space="preserve">2.38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N17</w:t>
            </w:r>
          </w:p>
        </w:tc>
        <w:tc>
          <w:tcPr/>
          <w:p>
            <w:pPr>
              <w:pStyle w:val="Compact"/>
            </w:pPr>
            <w:r>
              <w:t xml:space="preserve">Acute kidney failure</w:t>
            </w:r>
          </w:p>
        </w:tc>
        <w:tc>
          <w:tcPr/>
          <w:p>
            <w:pPr>
              <w:pStyle w:val="Compact"/>
            </w:pPr>
            <w:r>
              <w:t xml:space="preserve">20,690</w:t>
            </w:r>
          </w:p>
        </w:tc>
        <w:tc>
          <w:tcPr/>
          <w:p>
            <w:pPr>
              <w:pStyle w:val="Compact"/>
            </w:pPr>
            <w:r>
              <w:t xml:space="preserve">2.23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J18</w:t>
            </w:r>
          </w:p>
        </w:tc>
        <w:tc>
          <w:tcPr/>
          <w:p>
            <w:pPr>
              <w:pStyle w:val="Compact"/>
            </w:pPr>
            <w:r>
              <w:t xml:space="preserve">Pneumonia, unspecified organism</w:t>
            </w:r>
          </w:p>
        </w:tc>
        <w:tc>
          <w:tcPr/>
          <w:p>
            <w:pPr>
              <w:pStyle w:val="Compact"/>
            </w:pPr>
            <w:r>
              <w:t xml:space="preserve">18,760</w:t>
            </w:r>
          </w:p>
        </w:tc>
        <w:tc>
          <w:tcPr/>
          <w:p>
            <w:pPr>
              <w:pStyle w:val="Compact"/>
            </w:pPr>
            <w:r>
              <w:t xml:space="preserve">2.02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U07</w:t>
            </w:r>
          </w:p>
        </w:tc>
        <w:tc>
          <w:tcPr/>
          <w:p>
            <w:pPr>
              <w:pStyle w:val="Compact"/>
            </w:pPr>
            <w:r>
              <w:t xml:space="preserve">COVID-19</w:t>
            </w:r>
          </w:p>
        </w:tc>
        <w:tc>
          <w:tcPr/>
          <w:p>
            <w:pPr>
              <w:pStyle w:val="Compact"/>
            </w:pPr>
            <w:r>
              <w:t xml:space="preserve">17,495</w:t>
            </w:r>
          </w:p>
        </w:tc>
        <w:tc>
          <w:tcPr/>
          <w:p>
            <w:pPr>
              <w:pStyle w:val="Compact"/>
            </w:pPr>
            <w:r>
              <w:t xml:space="preserve">1.88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E87</w:t>
            </w:r>
          </w:p>
        </w:tc>
        <w:tc>
          <w:tcPr/>
          <w:p>
            <w:pPr>
              <w:pStyle w:val="Compact"/>
            </w:pPr>
            <w:r>
              <w:t xml:space="preserve">Disorders of fluid, electrolyte, and acid-base balance</w:t>
            </w:r>
          </w:p>
        </w:tc>
        <w:tc>
          <w:tcPr/>
          <w:p>
            <w:pPr>
              <w:pStyle w:val="Compact"/>
            </w:pPr>
            <w:r>
              <w:t xml:space="preserve">15,150</w:t>
            </w:r>
          </w:p>
        </w:tc>
        <w:tc>
          <w:tcPr/>
          <w:p>
            <w:pPr>
              <w:pStyle w:val="Compact"/>
            </w:pPr>
            <w:r>
              <w:t xml:space="preserve">1.63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J96</w:t>
            </w:r>
          </w:p>
        </w:tc>
        <w:tc>
          <w:tcPr/>
          <w:p>
            <w:pPr>
              <w:pStyle w:val="Compact"/>
            </w:pPr>
            <w:r>
              <w:t xml:space="preserve">Respiratory failure</w:t>
            </w:r>
          </w:p>
        </w:tc>
        <w:tc>
          <w:tcPr/>
          <w:p>
            <w:pPr>
              <w:pStyle w:val="Compact"/>
            </w:pPr>
            <w:r>
              <w:t xml:space="preserve">14,740</w:t>
            </w:r>
          </w:p>
        </w:tc>
        <w:tc>
          <w:tcPr/>
          <w:p>
            <w:pPr>
              <w:pStyle w:val="Compact"/>
            </w:pPr>
            <w:r>
              <w:t xml:space="preserve">1.59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I63</w:t>
            </w:r>
          </w:p>
        </w:tc>
        <w:tc>
          <w:tcPr/>
          <w:p>
            <w:pPr>
              <w:pStyle w:val="Compact"/>
            </w:pPr>
            <w:r>
              <w:t xml:space="preserve">Cerebral infarction (ischemic stroke)</w:t>
            </w:r>
          </w:p>
        </w:tc>
        <w:tc>
          <w:tcPr/>
          <w:p>
            <w:pPr>
              <w:pStyle w:val="Compact"/>
            </w:pPr>
            <w:r>
              <w:t xml:space="preserve">13,365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I21</w:t>
            </w:r>
          </w:p>
        </w:tc>
        <w:tc>
          <w:tcPr/>
          <w:p>
            <w:pPr>
              <w:pStyle w:val="Compact"/>
            </w:pPr>
            <w:r>
              <w:t xml:space="preserve">Acute myocardial infarction</w:t>
            </w:r>
          </w:p>
        </w:tc>
        <w:tc>
          <w:tcPr/>
          <w:p>
            <w:pPr>
              <w:pStyle w:val="Compact"/>
            </w:pPr>
            <w:r>
              <w:t xml:space="preserve">12,970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</w:tbl>
    <w:bookmarkEnd w:id="40"/>
    <w:bookmarkStart w:id="41" w:name="age-50-2"/>
    <w:p>
      <w:pPr>
        <w:pStyle w:val="Heading3"/>
      </w:pPr>
      <w:r>
        <w:t xml:space="preserve">Age &lt; 50: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7"/>
        <w:gridCol w:w="4668"/>
        <w:gridCol w:w="1167"/>
        <w:gridCol w:w="11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ICD-10 Code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Weighted Count</w:t>
            </w:r>
          </w:p>
        </w:tc>
        <w:tc>
          <w:tcPr/>
          <w:p>
            <w:pPr>
              <w:pStyle w:val="Compact"/>
            </w:pPr>
            <w:r>
              <w:t xml:space="preserve">Proportion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M32</w:t>
            </w:r>
          </w:p>
        </w:tc>
        <w:tc>
          <w:tcPr/>
          <w:p>
            <w:pPr>
              <w:pStyle w:val="Compact"/>
            </w:pPr>
            <w:r>
              <w:t xml:space="preserve">Systemic lupus erythematosus</w:t>
            </w:r>
          </w:p>
        </w:tc>
        <w:tc>
          <w:tcPr/>
          <w:p>
            <w:pPr>
              <w:pStyle w:val="Compact"/>
            </w:pPr>
            <w:r>
              <w:t xml:space="preserve">37,825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A41</w:t>
            </w:r>
          </w:p>
        </w:tc>
        <w:tc>
          <w:tcPr/>
          <w:p>
            <w:pPr>
              <w:pStyle w:val="Compact"/>
            </w:pPr>
            <w:r>
              <w:t xml:space="preserve">Sepsis</w:t>
            </w:r>
          </w:p>
        </w:tc>
        <w:tc>
          <w:tcPr/>
          <w:p>
            <w:pPr>
              <w:pStyle w:val="Compact"/>
            </w:pPr>
            <w:r>
              <w:t xml:space="preserve">30,935</w:t>
            </w:r>
          </w:p>
        </w:tc>
        <w:tc>
          <w:tcPr/>
          <w:p>
            <w:pPr>
              <w:pStyle w:val="Compact"/>
            </w:pPr>
            <w:r>
              <w:t xml:space="preserve">7.95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O99</w:t>
            </w:r>
          </w:p>
        </w:tc>
        <w:tc>
          <w:tcPr/>
          <w:p>
            <w:pPr>
              <w:pStyle w:val="Compact"/>
            </w:pPr>
            <w:r>
              <w:t xml:space="preserve">Other maternal diseases complicating pregnancy</w:t>
            </w:r>
          </w:p>
        </w:tc>
        <w:tc>
          <w:tcPr/>
          <w:p>
            <w:pPr>
              <w:pStyle w:val="Compact"/>
            </w:pPr>
            <w:r>
              <w:t xml:space="preserve">11,365</w:t>
            </w:r>
          </w:p>
        </w:tc>
        <w:tc>
          <w:tcPr/>
          <w:p>
            <w:pPr>
              <w:pStyle w:val="Compact"/>
            </w:pPr>
            <w:r>
              <w:t xml:space="preserve">2.92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E87</w:t>
            </w:r>
          </w:p>
        </w:tc>
        <w:tc>
          <w:tcPr/>
          <w:p>
            <w:pPr>
              <w:pStyle w:val="Compact"/>
            </w:pPr>
            <w:r>
              <w:t xml:space="preserve">Disorders of fluid, electrolyte, and acid-base balance</w:t>
            </w:r>
          </w:p>
        </w:tc>
        <w:tc>
          <w:tcPr/>
          <w:p>
            <w:pPr>
              <w:pStyle w:val="Compact"/>
            </w:pPr>
            <w:r>
              <w:t xml:space="preserve">8,180</w:t>
            </w:r>
          </w:p>
        </w:tc>
        <w:tc>
          <w:tcPr/>
          <w:p>
            <w:pPr>
              <w:pStyle w:val="Compact"/>
            </w:pPr>
            <w:r>
              <w:t xml:space="preserve">2.10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N17</w:t>
            </w:r>
          </w:p>
        </w:tc>
        <w:tc>
          <w:tcPr/>
          <w:p>
            <w:pPr>
              <w:pStyle w:val="Compact"/>
            </w:pPr>
            <w:r>
              <w:t xml:space="preserve">Acute kidney failure</w:t>
            </w:r>
          </w:p>
        </w:tc>
        <w:tc>
          <w:tcPr/>
          <w:p>
            <w:pPr>
              <w:pStyle w:val="Compact"/>
            </w:pPr>
            <w:r>
              <w:t xml:space="preserve">7,370</w:t>
            </w:r>
          </w:p>
        </w:tc>
        <w:tc>
          <w:tcPr/>
          <w:p>
            <w:pPr>
              <w:pStyle w:val="Compact"/>
            </w:pPr>
            <w:r>
              <w:t xml:space="preserve">1.89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J18</w:t>
            </w:r>
          </w:p>
        </w:tc>
        <w:tc>
          <w:tcPr/>
          <w:p>
            <w:pPr>
              <w:pStyle w:val="Compact"/>
            </w:pPr>
            <w:r>
              <w:t xml:space="preserve">Pneumonia, unspecified organism</w:t>
            </w:r>
          </w:p>
        </w:tc>
        <w:tc>
          <w:tcPr/>
          <w:p>
            <w:pPr>
              <w:pStyle w:val="Compact"/>
            </w:pPr>
            <w:r>
              <w:t xml:space="preserve">6,410</w:t>
            </w:r>
          </w:p>
        </w:tc>
        <w:tc>
          <w:tcPr/>
          <w:p>
            <w:pPr>
              <w:pStyle w:val="Compact"/>
            </w:pPr>
            <w:r>
              <w:t xml:space="preserve">1.65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I13</w:t>
            </w:r>
          </w:p>
        </w:tc>
        <w:tc>
          <w:tcPr/>
          <w:p>
            <w:pPr>
              <w:pStyle w:val="Compact"/>
            </w:pPr>
            <w:r>
              <w:t xml:space="preserve">Hypertensive heart and chronic kidney disease</w:t>
            </w:r>
          </w:p>
        </w:tc>
        <w:tc>
          <w:tcPr/>
          <w:p>
            <w:pPr>
              <w:pStyle w:val="Compact"/>
            </w:pPr>
            <w:r>
              <w:t xml:space="preserve">6,170</w:t>
            </w:r>
          </w:p>
        </w:tc>
        <w:tc>
          <w:tcPr/>
          <w:p>
            <w:pPr>
              <w:pStyle w:val="Compact"/>
            </w:pPr>
            <w:r>
              <w:t xml:space="preserve">1.59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T82</w:t>
            </w:r>
          </w:p>
        </w:tc>
        <w:tc>
          <w:tcPr/>
          <w:p>
            <w:pPr>
              <w:pStyle w:val="Compact"/>
            </w:pPr>
            <w:r>
              <w:t xml:space="preserve">Complications of cardiac and vascular prosthetic devices</w:t>
            </w:r>
          </w:p>
        </w:tc>
        <w:tc>
          <w:tcPr/>
          <w:p>
            <w:pPr>
              <w:pStyle w:val="Compact"/>
            </w:pPr>
            <w:r>
              <w:t xml:space="preserve">6,100</w:t>
            </w:r>
          </w:p>
        </w:tc>
        <w:tc>
          <w:tcPr/>
          <w:p>
            <w:pPr>
              <w:pStyle w:val="Compact"/>
            </w:pPr>
            <w:r>
              <w:t xml:space="preserve">1.57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I16</w:t>
            </w:r>
          </w:p>
        </w:tc>
        <w:tc>
          <w:tcPr/>
          <w:p>
            <w:pPr>
              <w:pStyle w:val="Compact"/>
            </w:pPr>
            <w:r>
              <w:t xml:space="preserve">Hypertensive crisis</w:t>
            </w:r>
          </w:p>
        </w:tc>
        <w:tc>
          <w:tcPr/>
          <w:p>
            <w:pPr>
              <w:pStyle w:val="Compact"/>
            </w:pPr>
            <w:r>
              <w:t xml:space="preserve">5,215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T86</w:t>
            </w:r>
          </w:p>
        </w:tc>
        <w:tc>
          <w:tcPr/>
          <w:p>
            <w:pPr>
              <w:pStyle w:val="Compact"/>
            </w:pPr>
            <w:r>
              <w:t xml:space="preserve">Complications of transplanted organs and tissue</w:t>
            </w:r>
          </w:p>
        </w:tc>
        <w:tc>
          <w:tcPr/>
          <w:p>
            <w:pPr>
              <w:pStyle w:val="Compact"/>
            </w:pPr>
            <w:r>
              <w:t xml:space="preserve">5,055</w:t>
            </w:r>
          </w:p>
        </w:tc>
        <w:tc>
          <w:tcPr/>
          <w:p>
            <w:pPr>
              <w:pStyle w:val="Compact"/>
            </w:pPr>
            <w:r>
              <w:t xml:space="preserve">1.30</w:t>
            </w:r>
          </w:p>
        </w:tc>
      </w:tr>
    </w:tbl>
    <w:bookmarkEnd w:id="41"/>
    <w:bookmarkStart w:id="42" w:name="age-50-3"/>
    <w:p>
      <w:pPr>
        <w:pStyle w:val="Heading3"/>
      </w:pPr>
      <w:r>
        <w:t xml:space="preserve">Age ≥ 50: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7"/>
        <w:gridCol w:w="4242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ICD-10 Code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Weighted Count</w:t>
            </w:r>
          </w:p>
        </w:tc>
        <w:tc>
          <w:tcPr/>
          <w:p>
            <w:pPr>
              <w:pStyle w:val="Compact"/>
            </w:pPr>
            <w:r>
              <w:t xml:space="preserve">Proportion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A41</w:t>
            </w:r>
          </w:p>
        </w:tc>
        <w:tc>
          <w:tcPr/>
          <w:p>
            <w:pPr>
              <w:pStyle w:val="Compact"/>
            </w:pPr>
            <w:r>
              <w:t xml:space="preserve">Sepsis</w:t>
            </w:r>
          </w:p>
        </w:tc>
        <w:tc>
          <w:tcPr/>
          <w:p>
            <w:pPr>
              <w:pStyle w:val="Compact"/>
            </w:pPr>
            <w:r>
              <w:t xml:space="preserve">51,935</w:t>
            </w:r>
          </w:p>
        </w:tc>
        <w:tc>
          <w:tcPr/>
          <w:p>
            <w:pPr>
              <w:pStyle w:val="Compact"/>
            </w:pPr>
            <w:r>
              <w:t xml:space="preserve">9.61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I13</w:t>
            </w:r>
          </w:p>
        </w:tc>
        <w:tc>
          <w:tcPr/>
          <w:p>
            <w:pPr>
              <w:pStyle w:val="Compact"/>
            </w:pPr>
            <w:r>
              <w:t xml:space="preserve">Hypertensive heart and chronic kidney disease</w:t>
            </w:r>
          </w:p>
        </w:tc>
        <w:tc>
          <w:tcPr/>
          <w:p>
            <w:pPr>
              <w:pStyle w:val="Compact"/>
            </w:pPr>
            <w:r>
              <w:t xml:space="preserve">15,960</w:t>
            </w:r>
          </w:p>
        </w:tc>
        <w:tc>
          <w:tcPr/>
          <w:p>
            <w:pPr>
              <w:pStyle w:val="Compact"/>
            </w:pPr>
            <w:r>
              <w:t xml:space="preserve">2.95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N17</w:t>
            </w:r>
          </w:p>
        </w:tc>
        <w:tc>
          <w:tcPr/>
          <w:p>
            <w:pPr>
              <w:pStyle w:val="Compact"/>
            </w:pPr>
            <w:r>
              <w:t xml:space="preserve">Acute kidney failure</w:t>
            </w:r>
          </w:p>
        </w:tc>
        <w:tc>
          <w:tcPr/>
          <w:p>
            <w:pPr>
              <w:pStyle w:val="Compact"/>
            </w:pPr>
            <w:r>
              <w:t xml:space="preserve">13,320</w:t>
            </w:r>
          </w:p>
        </w:tc>
        <w:tc>
          <w:tcPr/>
          <w:p>
            <w:pPr>
              <w:pStyle w:val="Compact"/>
            </w:pPr>
            <w:r>
              <w:t xml:space="preserve">2.46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U07</w:t>
            </w:r>
          </w:p>
        </w:tc>
        <w:tc>
          <w:tcPr/>
          <w:p>
            <w:pPr>
              <w:pStyle w:val="Compact"/>
            </w:pPr>
            <w:r>
              <w:t xml:space="preserve">COVID-19</w:t>
            </w:r>
          </w:p>
        </w:tc>
        <w:tc>
          <w:tcPr/>
          <w:p>
            <w:pPr>
              <w:pStyle w:val="Compact"/>
            </w:pPr>
            <w:r>
              <w:t xml:space="preserve">12,470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J18</w:t>
            </w:r>
          </w:p>
        </w:tc>
        <w:tc>
          <w:tcPr/>
          <w:p>
            <w:pPr>
              <w:pStyle w:val="Compact"/>
            </w:pPr>
            <w:r>
              <w:t xml:space="preserve">Pneumonia, unspecified organism</w:t>
            </w:r>
          </w:p>
        </w:tc>
        <w:tc>
          <w:tcPr/>
          <w:p>
            <w:pPr>
              <w:pStyle w:val="Compact"/>
            </w:pPr>
            <w:r>
              <w:t xml:space="preserve">12,350</w:t>
            </w:r>
          </w:p>
        </w:tc>
        <w:tc>
          <w:tcPr/>
          <w:p>
            <w:pPr>
              <w:pStyle w:val="Compact"/>
            </w:pPr>
            <w:r>
              <w:t xml:space="preserve">2.28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J44</w:t>
            </w:r>
          </w:p>
        </w:tc>
        <w:tc>
          <w:tcPr/>
          <w:p>
            <w:pPr>
              <w:pStyle w:val="Compact"/>
            </w:pPr>
            <w:r>
              <w:t xml:space="preserve">Chronic obstructive pulmonary disease (COPD)</w:t>
            </w:r>
          </w:p>
        </w:tc>
        <w:tc>
          <w:tcPr/>
          <w:p>
            <w:pPr>
              <w:pStyle w:val="Compact"/>
            </w:pPr>
            <w:r>
              <w:t xml:space="preserve">10,850</w:t>
            </w:r>
          </w:p>
        </w:tc>
        <w:tc>
          <w:tcPr/>
          <w:p>
            <w:pPr>
              <w:pStyle w:val="Compact"/>
            </w:pPr>
            <w:r>
              <w:t xml:space="preserve">2.01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J96</w:t>
            </w:r>
          </w:p>
        </w:tc>
        <w:tc>
          <w:tcPr/>
          <w:p>
            <w:pPr>
              <w:pStyle w:val="Compact"/>
            </w:pPr>
            <w:r>
              <w:t xml:space="preserve">Respiratory failure</w:t>
            </w:r>
          </w:p>
        </w:tc>
        <w:tc>
          <w:tcPr/>
          <w:p>
            <w:pPr>
              <w:pStyle w:val="Compact"/>
            </w:pPr>
            <w:r>
              <w:t xml:space="preserve">10,695</w:t>
            </w:r>
          </w:p>
        </w:tc>
        <w:tc>
          <w:tcPr/>
          <w:p>
            <w:pPr>
              <w:pStyle w:val="Compact"/>
            </w:pPr>
            <w:r>
              <w:t xml:space="preserve">1.98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M32</w:t>
            </w:r>
          </w:p>
        </w:tc>
        <w:tc>
          <w:tcPr/>
          <w:p>
            <w:pPr>
              <w:pStyle w:val="Compact"/>
            </w:pPr>
            <w:r>
              <w:t xml:space="preserve">Systemic lupus erythematosus</w:t>
            </w:r>
          </w:p>
        </w:tc>
        <w:tc>
          <w:tcPr/>
          <w:p>
            <w:pPr>
              <w:pStyle w:val="Compact"/>
            </w:pPr>
            <w:r>
              <w:t xml:space="preserve">10,565</w:t>
            </w:r>
          </w:p>
        </w:tc>
        <w:tc>
          <w:tcPr/>
          <w:p>
            <w:pPr>
              <w:pStyle w:val="Compact"/>
            </w:pPr>
            <w:r>
              <w:t xml:space="preserve">1.95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I21</w:t>
            </w:r>
          </w:p>
        </w:tc>
        <w:tc>
          <w:tcPr/>
          <w:p>
            <w:pPr>
              <w:pStyle w:val="Compact"/>
            </w:pPr>
            <w:r>
              <w:t xml:space="preserve">Acute myocardial infarction</w:t>
            </w:r>
          </w:p>
        </w:tc>
        <w:tc>
          <w:tcPr/>
          <w:p>
            <w:pPr>
              <w:pStyle w:val="Compact"/>
            </w:pPr>
            <w:r>
              <w:t xml:space="preserve">10,505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I11</w:t>
            </w:r>
          </w:p>
        </w:tc>
        <w:tc>
          <w:tcPr/>
          <w:p>
            <w:pPr>
              <w:pStyle w:val="Compact"/>
            </w:pPr>
            <w:r>
              <w:t xml:space="preserve">Hypertensive heart disease</w:t>
            </w:r>
          </w:p>
        </w:tc>
        <w:tc>
          <w:tcPr/>
          <w:p>
            <w:pPr>
              <w:pStyle w:val="Compact"/>
            </w:pPr>
            <w:r>
              <w:t xml:space="preserve">10,470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</w:tr>
    </w:tbl>
    <w:bookmarkEnd w:id="42"/>
    <w:bookmarkEnd w:id="43"/>
    <w:bookmarkStart w:id="47" w:name="X054c72d1ae01603dfbb9818afe608b57f288958"/>
    <w:p>
      <w:pPr>
        <w:pStyle w:val="Heading2"/>
      </w:pPr>
      <w:r>
        <w:t xml:space="preserve">Top causes of admission leading to in-hospital mortality (by diagnosis category):</w:t>
      </w:r>
    </w:p>
    <w:bookmarkStart w:id="44" w:name="overall-2"/>
    <w:p>
      <w:pPr>
        <w:pStyle w:val="Heading3"/>
      </w:pPr>
      <w:r>
        <w:t xml:space="preserve">Overall: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2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Primary diagnosis</w:t>
            </w:r>
          </w:p>
        </w:tc>
        <w:tc>
          <w:tcPr/>
          <w:p>
            <w:pPr>
              <w:pStyle w:val="Compact"/>
            </w:pPr>
            <w:r>
              <w:t xml:space="preserve">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Infectious and parasitic diseases</w:t>
            </w:r>
          </w:p>
        </w:tc>
        <w:tc>
          <w:tcPr/>
          <w:p>
            <w:pPr>
              <w:pStyle w:val="Compact"/>
            </w:pPr>
            <w:r>
              <w:t xml:space="preserve">7,195 (34%)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Cardiovascular diseases</w:t>
            </w:r>
          </w:p>
        </w:tc>
        <w:tc>
          <w:tcPr/>
          <w:p>
            <w:pPr>
              <w:pStyle w:val="Compact"/>
            </w:pPr>
            <w:r>
              <w:t xml:space="preserve">3,835 (18%)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respiratory system</w:t>
            </w:r>
          </w:p>
        </w:tc>
        <w:tc>
          <w:tcPr/>
          <w:p>
            <w:pPr>
              <w:pStyle w:val="Compact"/>
            </w:pPr>
            <w:r>
              <w:t xml:space="preserve">2,300 (11%)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digestive system</w:t>
            </w:r>
          </w:p>
        </w:tc>
        <w:tc>
          <w:tcPr/>
          <w:p>
            <w:pPr>
              <w:pStyle w:val="Compact"/>
            </w:pPr>
            <w:r>
              <w:t xml:space="preserve">1,165 (5.6%)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Injury and poisoning</w:t>
            </w:r>
          </w:p>
        </w:tc>
        <w:tc>
          <w:tcPr/>
          <w:p>
            <w:pPr>
              <w:pStyle w:val="Compact"/>
            </w:pPr>
            <w:r>
              <w:t xml:space="preserve">1,150 (5.5%)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Hematologic and oncologic disorders</w:t>
            </w:r>
          </w:p>
        </w:tc>
        <w:tc>
          <w:tcPr/>
          <w:p>
            <w:pPr>
              <w:pStyle w:val="Compact"/>
            </w:pPr>
            <w:r>
              <w:t xml:space="preserve">1,085 (5.2%)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Musculoskeletal and connective tissue diseases</w:t>
            </w:r>
          </w:p>
        </w:tc>
        <w:tc>
          <w:tcPr/>
          <w:p>
            <w:pPr>
              <w:pStyle w:val="Compact"/>
            </w:pPr>
            <w:r>
              <w:t xml:space="preserve">675 (3.2%)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genitourinary system</w:t>
            </w:r>
          </w:p>
        </w:tc>
        <w:tc>
          <w:tcPr/>
          <w:p>
            <w:pPr>
              <w:pStyle w:val="Compact"/>
            </w:pPr>
            <w:r>
              <w:t xml:space="preserve">535 (2.6%)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Factors influencing health status and healthcare contact</w:t>
            </w:r>
          </w:p>
        </w:tc>
        <w:tc>
          <w:tcPr/>
          <w:p>
            <w:pPr>
              <w:pStyle w:val="Compact"/>
            </w:pPr>
            <w:r>
              <w:t xml:space="preserve">380 (1.8%)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Endocrine, nutritional, and metabolic diseases</w:t>
            </w:r>
          </w:p>
        </w:tc>
        <w:tc>
          <w:tcPr/>
          <w:p>
            <w:pPr>
              <w:pStyle w:val="Compact"/>
            </w:pPr>
            <w:r>
              <w:t xml:space="preserve">345 (1.6%)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nervous system</w:t>
            </w:r>
          </w:p>
        </w:tc>
        <w:tc>
          <w:tcPr/>
          <w:p>
            <w:pPr>
              <w:pStyle w:val="Compact"/>
            </w:pPr>
            <w:r>
              <w:t xml:space="preserve">340 (1.6%)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Symptoms, signs, and abnormal findings</w:t>
            </w:r>
          </w:p>
        </w:tc>
        <w:tc>
          <w:tcPr/>
          <w:p>
            <w:pPr>
              <w:pStyle w:val="Compact"/>
            </w:pPr>
            <w:r>
              <w:t xml:space="preserve">160 (0.8%)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skin and subcutaneous tissue</w:t>
            </w:r>
          </w:p>
        </w:tc>
        <w:tc>
          <w:tcPr/>
          <w:p>
            <w:pPr>
              <w:pStyle w:val="Compact"/>
            </w:pPr>
            <w:r>
              <w:t xml:space="preserve">95 (0.5%)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Pregnancy, childbirth, and puerperium</w:t>
            </w:r>
          </w:p>
        </w:tc>
        <w:tc>
          <w:tcPr/>
          <w:p>
            <w:pPr>
              <w:pStyle w:val="Compact"/>
            </w:pPr>
            <w:r>
              <w:t xml:space="preserve">40 (0.2%)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Congenital malformations and chromosomal abnormalities</w:t>
            </w:r>
          </w:p>
        </w:tc>
        <w:tc>
          <w:tcPr/>
          <w:p>
            <w:pPr>
              <w:pStyle w:val="Compact"/>
            </w:pPr>
            <w:r>
              <w:t xml:space="preserve">25 (0.1%)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Mental, behavioral, and neurodevelopmental disorders</w:t>
            </w:r>
          </w:p>
        </w:tc>
        <w:tc>
          <w:tcPr/>
          <w:p>
            <w:pPr>
              <w:pStyle w:val="Compact"/>
            </w:pPr>
            <w:r>
              <w:t xml:space="preserve">20 (&lt;0.1%)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eye, ear, and mastoid</w:t>
            </w:r>
          </w:p>
        </w:tc>
        <w:tc>
          <w:tcPr/>
          <w:p>
            <w:pPr>
              <w:pStyle w:val="Compact"/>
            </w:pPr>
            <w:r>
              <w:t xml:space="preserve">5 (&lt;0.1%)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originating in the perinatal period</w:t>
            </w:r>
          </w:p>
        </w:tc>
        <w:tc>
          <w:tcPr/>
          <w:p>
            <w:pPr>
              <w:pStyle w:val="Compact"/>
            </w:pPr>
            <w:r>
              <w:t xml:space="preserve">0 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causes of morbidity</w:t>
            </w:r>
          </w:p>
        </w:tc>
        <w:tc>
          <w:tcPr/>
          <w:p>
            <w:pPr>
              <w:pStyle w:val="Compact"/>
            </w:pPr>
            <w:r>
              <w:t xml:space="preserve">0 (0%)</w:t>
            </w:r>
          </w:p>
        </w:tc>
      </w:tr>
    </w:tbl>
    <w:bookmarkEnd w:id="44"/>
    <w:bookmarkStart w:id="45" w:name="age-50-4"/>
    <w:p>
      <w:pPr>
        <w:pStyle w:val="Heading3"/>
      </w:pPr>
      <w:r>
        <w:t xml:space="preserve">Age &lt; 50: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19"/>
        <w:gridCol w:w="1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Primary diagnosis</w:t>
            </w:r>
          </w:p>
        </w:tc>
        <w:tc>
          <w:tcPr/>
          <w:p>
            <w:pPr>
              <w:pStyle w:val="Compact"/>
            </w:pPr>
            <w:r>
              <w:t xml:space="preserve">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Infectious and parasitic diseases</w:t>
            </w:r>
          </w:p>
        </w:tc>
        <w:tc>
          <w:tcPr/>
          <w:p>
            <w:pPr>
              <w:pStyle w:val="Compact"/>
            </w:pPr>
            <w:r>
              <w:t xml:space="preserve">1,525 (35%)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Cardiovascular diseases</w:t>
            </w:r>
          </w:p>
        </w:tc>
        <w:tc>
          <w:tcPr/>
          <w:p>
            <w:pPr>
              <w:pStyle w:val="Compact"/>
            </w:pPr>
            <w:r>
              <w:t xml:space="preserve">685 (16%)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respiratory system</w:t>
            </w:r>
          </w:p>
        </w:tc>
        <w:tc>
          <w:tcPr/>
          <w:p>
            <w:pPr>
              <w:pStyle w:val="Compact"/>
            </w:pPr>
            <w:r>
              <w:t xml:space="preserve">480 (11%)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Musculoskeletal and connective tissue diseases</w:t>
            </w:r>
          </w:p>
        </w:tc>
        <w:tc>
          <w:tcPr/>
          <w:p>
            <w:pPr>
              <w:pStyle w:val="Compact"/>
            </w:pPr>
            <w:r>
              <w:t xml:space="preserve">310 (7.1%)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Injury and poisoning</w:t>
            </w:r>
          </w:p>
        </w:tc>
        <w:tc>
          <w:tcPr/>
          <w:p>
            <w:pPr>
              <w:pStyle w:val="Compact"/>
            </w:pPr>
            <w:r>
              <w:t xml:space="preserve">300 (6.9%)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digestive system</w:t>
            </w:r>
          </w:p>
        </w:tc>
        <w:tc>
          <w:tcPr/>
          <w:p>
            <w:pPr>
              <w:pStyle w:val="Compact"/>
            </w:pPr>
            <w:r>
              <w:t xml:space="preserve">215 (4.9%)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Hematologic and oncologic disorders</w:t>
            </w:r>
          </w:p>
        </w:tc>
        <w:tc>
          <w:tcPr/>
          <w:p>
            <w:pPr>
              <w:pStyle w:val="Compact"/>
            </w:pPr>
            <w:r>
              <w:t xml:space="preserve">160 (3.7%)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nervous system</w:t>
            </w:r>
          </w:p>
        </w:tc>
        <w:tc>
          <w:tcPr/>
          <w:p>
            <w:pPr>
              <w:pStyle w:val="Compact"/>
            </w:pPr>
            <w:r>
              <w:t xml:space="preserve">120 (2.7%)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genitourinary system</w:t>
            </w:r>
          </w:p>
        </w:tc>
        <w:tc>
          <w:tcPr/>
          <w:p>
            <w:pPr>
              <w:pStyle w:val="Compact"/>
            </w:pPr>
            <w:r>
              <w:t xml:space="preserve">105 (2.4%)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Endocrine, nutritional, and metabolic diseases</w:t>
            </w:r>
          </w:p>
        </w:tc>
        <w:tc>
          <w:tcPr/>
          <w:p>
            <w:pPr>
              <w:pStyle w:val="Compact"/>
            </w:pPr>
            <w:r>
              <w:t xml:space="preserve">100 (2.3%)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Symptoms, signs, and abnormal findings</w:t>
            </w:r>
          </w:p>
        </w:tc>
        <w:tc>
          <w:tcPr/>
          <w:p>
            <w:pPr>
              <w:pStyle w:val="Compact"/>
            </w:pPr>
            <w:r>
              <w:t xml:space="preserve">40 (0.9%)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Pregnancy, childbirth, and puerperium</w:t>
            </w:r>
          </w:p>
        </w:tc>
        <w:tc>
          <w:tcPr/>
          <w:p>
            <w:pPr>
              <w:pStyle w:val="Compact"/>
            </w:pPr>
            <w:r>
              <w:t xml:space="preserve">40 (0.9%)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Factors influencing health status and healthcare contact</w:t>
            </w:r>
          </w:p>
        </w:tc>
        <w:tc>
          <w:tcPr/>
          <w:p>
            <w:pPr>
              <w:pStyle w:val="Compact"/>
            </w:pPr>
            <w:r>
              <w:t xml:space="preserve">20 (0.5%)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skin and subcutaneous tissue</w:t>
            </w:r>
          </w:p>
        </w:tc>
        <w:tc>
          <w:tcPr/>
          <w:p>
            <w:pPr>
              <w:pStyle w:val="Compact"/>
            </w:pPr>
            <w:r>
              <w:t xml:space="preserve">15 (0.3%)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Congenital malformations and chromosomal abnormalities</w:t>
            </w:r>
          </w:p>
        </w:tc>
        <w:tc>
          <w:tcPr/>
          <w:p>
            <w:pPr>
              <w:pStyle w:val="Compact"/>
            </w:pPr>
            <w:r>
              <w:t xml:space="preserve">5 (0.1%)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Mental, behavioral, and neurodevelopmental disorders</w:t>
            </w:r>
          </w:p>
        </w:tc>
        <w:tc>
          <w:tcPr/>
          <w:p>
            <w:pPr>
              <w:pStyle w:val="Compact"/>
            </w:pPr>
            <w:r>
              <w:t xml:space="preserve">0 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eye, ear, and mastoid</w:t>
            </w:r>
          </w:p>
        </w:tc>
        <w:tc>
          <w:tcPr/>
          <w:p>
            <w:pPr>
              <w:pStyle w:val="Compact"/>
            </w:pPr>
            <w:r>
              <w:t xml:space="preserve">0 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originating in the perinatal period</w:t>
            </w:r>
          </w:p>
        </w:tc>
        <w:tc>
          <w:tcPr/>
          <w:p>
            <w:pPr>
              <w:pStyle w:val="Compact"/>
            </w:pPr>
            <w:r>
              <w:t xml:space="preserve">0 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causes of morbidity</w:t>
            </w:r>
          </w:p>
        </w:tc>
        <w:tc>
          <w:tcPr/>
          <w:p>
            <w:pPr>
              <w:pStyle w:val="Compact"/>
            </w:pPr>
            <w:r>
              <w:t xml:space="preserve">0 (0%)</w:t>
            </w:r>
          </w:p>
        </w:tc>
      </w:tr>
    </w:tbl>
    <w:bookmarkEnd w:id="45"/>
    <w:bookmarkStart w:id="46" w:name="age-50-5"/>
    <w:p>
      <w:pPr>
        <w:pStyle w:val="Heading3"/>
      </w:pPr>
      <w:r>
        <w:t xml:space="preserve">Age ≥ 50: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19"/>
        <w:gridCol w:w="1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Primary diagnosis</w:t>
            </w:r>
          </w:p>
        </w:tc>
        <w:tc>
          <w:tcPr/>
          <w:p>
            <w:pPr>
              <w:pStyle w:val="Compact"/>
            </w:pPr>
            <w:r>
              <w:t xml:space="preserve">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Infectious and parasitic diseases</w:t>
            </w:r>
          </w:p>
        </w:tc>
        <w:tc>
          <w:tcPr/>
          <w:p>
            <w:pPr>
              <w:pStyle w:val="Compact"/>
            </w:pPr>
            <w:r>
              <w:t xml:space="preserve">5,670 (34%)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Cardiovascular diseases</w:t>
            </w:r>
          </w:p>
        </w:tc>
        <w:tc>
          <w:tcPr/>
          <w:p>
            <w:pPr>
              <w:pStyle w:val="Compact"/>
            </w:pPr>
            <w:r>
              <w:t xml:space="preserve">3,150 (19%)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respiratory system</w:t>
            </w:r>
          </w:p>
        </w:tc>
        <w:tc>
          <w:tcPr/>
          <w:p>
            <w:pPr>
              <w:pStyle w:val="Compact"/>
            </w:pPr>
            <w:r>
              <w:t xml:space="preserve">1,820 (11%)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digestive system</w:t>
            </w:r>
          </w:p>
        </w:tc>
        <w:tc>
          <w:tcPr/>
          <w:p>
            <w:pPr>
              <w:pStyle w:val="Compact"/>
            </w:pPr>
            <w:r>
              <w:t xml:space="preserve">950 (5.7%)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Hematologic and oncologic disorders</w:t>
            </w:r>
          </w:p>
        </w:tc>
        <w:tc>
          <w:tcPr/>
          <w:p>
            <w:pPr>
              <w:pStyle w:val="Compact"/>
            </w:pPr>
            <w:r>
              <w:t xml:space="preserve">925 (5.6%)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Injury and poisoning</w:t>
            </w:r>
          </w:p>
        </w:tc>
        <w:tc>
          <w:tcPr/>
          <w:p>
            <w:pPr>
              <w:pStyle w:val="Compact"/>
            </w:pPr>
            <w:r>
              <w:t xml:space="preserve">850 (5.1%)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genitourinary system</w:t>
            </w:r>
          </w:p>
        </w:tc>
        <w:tc>
          <w:tcPr/>
          <w:p>
            <w:pPr>
              <w:pStyle w:val="Compact"/>
            </w:pPr>
            <w:r>
              <w:t xml:space="preserve">430 (2.6%)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Musculoskeletal and connective tissue diseases</w:t>
            </w:r>
          </w:p>
        </w:tc>
        <w:tc>
          <w:tcPr/>
          <w:p>
            <w:pPr>
              <w:pStyle w:val="Compact"/>
            </w:pPr>
            <w:r>
              <w:t xml:space="preserve">365 (2.2%)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Factors influencing health status and healthcare contact</w:t>
            </w:r>
          </w:p>
        </w:tc>
        <w:tc>
          <w:tcPr/>
          <w:p>
            <w:pPr>
              <w:pStyle w:val="Compact"/>
            </w:pPr>
            <w:r>
              <w:t xml:space="preserve">360 (2.2%)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Endocrine, nutritional, and metabolic diseases</w:t>
            </w:r>
          </w:p>
        </w:tc>
        <w:tc>
          <w:tcPr/>
          <w:p>
            <w:pPr>
              <w:pStyle w:val="Compact"/>
            </w:pPr>
            <w:r>
              <w:t xml:space="preserve">245 (1.5%)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nervous system</w:t>
            </w:r>
          </w:p>
        </w:tc>
        <w:tc>
          <w:tcPr/>
          <w:p>
            <w:pPr>
              <w:pStyle w:val="Compact"/>
            </w:pPr>
            <w:r>
              <w:t xml:space="preserve">220 (1.3%)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Symptoms, signs, and abnormal findings</w:t>
            </w:r>
          </w:p>
        </w:tc>
        <w:tc>
          <w:tcPr/>
          <w:p>
            <w:pPr>
              <w:pStyle w:val="Compact"/>
            </w:pPr>
            <w:r>
              <w:t xml:space="preserve">120 (0.7%)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skin and subcutaneous tissue</w:t>
            </w:r>
          </w:p>
        </w:tc>
        <w:tc>
          <w:tcPr/>
          <w:p>
            <w:pPr>
              <w:pStyle w:val="Compact"/>
            </w:pPr>
            <w:r>
              <w:t xml:space="preserve">80 (0.5%)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Mental, behavioral, and neurodevelopmental disorders</w:t>
            </w:r>
          </w:p>
        </w:tc>
        <w:tc>
          <w:tcPr/>
          <w:p>
            <w:pPr>
              <w:pStyle w:val="Compact"/>
            </w:pPr>
            <w:r>
              <w:t xml:space="preserve">20 (0.1%)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Congenital malformations and chromosomal abnormalities</w:t>
            </w:r>
          </w:p>
        </w:tc>
        <w:tc>
          <w:tcPr/>
          <w:p>
            <w:pPr>
              <w:pStyle w:val="Compact"/>
            </w:pPr>
            <w:r>
              <w:t xml:space="preserve">20 (0.1%)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Diseases of the eye, ear, and mastoid</w:t>
            </w:r>
          </w:p>
        </w:tc>
        <w:tc>
          <w:tcPr/>
          <w:p>
            <w:pPr>
              <w:pStyle w:val="Compact"/>
            </w:pPr>
            <w:r>
              <w:t xml:space="preserve">5 (&lt;0.1%)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Pregnancy, childbirth, and puerperium</w:t>
            </w:r>
          </w:p>
        </w:tc>
        <w:tc>
          <w:tcPr/>
          <w:p>
            <w:pPr>
              <w:pStyle w:val="Compact"/>
            </w:pPr>
            <w:r>
              <w:t xml:space="preserve">0 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originating in the perinatal period</w:t>
            </w:r>
          </w:p>
        </w:tc>
        <w:tc>
          <w:tcPr/>
          <w:p>
            <w:pPr>
              <w:pStyle w:val="Compact"/>
            </w:pPr>
            <w:r>
              <w:t xml:space="preserve">0 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causes of morbidity</w:t>
            </w:r>
          </w:p>
        </w:tc>
        <w:tc>
          <w:tcPr/>
          <w:p>
            <w:pPr>
              <w:pStyle w:val="Compact"/>
            </w:pPr>
            <w:r>
              <w:t xml:space="preserve">0 (0%)</w:t>
            </w:r>
          </w:p>
        </w:tc>
      </w:tr>
    </w:tbl>
    <w:bookmarkEnd w:id="46"/>
    <w:bookmarkEnd w:id="47"/>
    <w:bookmarkStart w:id="51" w:name="X126797530bcb2fb907806b2879ec80c658358d2"/>
    <w:p>
      <w:pPr>
        <w:pStyle w:val="Heading2"/>
      </w:pPr>
      <w:r>
        <w:t xml:space="preserve">Top causes of admission leading to in-hospital mortality (by specific ICD-10 codes):</w:t>
      </w:r>
    </w:p>
    <w:bookmarkStart w:id="48" w:name="overall-3"/>
    <w:p>
      <w:pPr>
        <w:pStyle w:val="Heading3"/>
      </w:pPr>
      <w:r>
        <w:t xml:space="preserve">Overall: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4"/>
        <w:gridCol w:w="5033"/>
        <w:gridCol w:w="1036"/>
        <w:gridCol w:w="1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ICD-10 Code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Weighted Count</w:t>
            </w:r>
          </w:p>
        </w:tc>
        <w:tc>
          <w:tcPr/>
          <w:p>
            <w:pPr>
              <w:pStyle w:val="Compact"/>
            </w:pPr>
            <w:r>
              <w:t xml:space="preserve">Proportion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A41</w:t>
            </w:r>
          </w:p>
        </w:tc>
        <w:tc>
          <w:tcPr/>
          <w:p>
            <w:pPr>
              <w:pStyle w:val="Compact"/>
            </w:pPr>
            <w:r>
              <w:t xml:space="preserve">Sepsis</w:t>
            </w:r>
          </w:p>
        </w:tc>
        <w:tc>
          <w:tcPr/>
          <w:p>
            <w:pPr>
              <w:pStyle w:val="Compact"/>
            </w:pPr>
            <w:r>
              <w:t xml:space="preserve">6,740</w:t>
            </w:r>
          </w:p>
        </w:tc>
        <w:tc>
          <w:tcPr/>
          <w:p>
            <w:pPr>
              <w:pStyle w:val="Compact"/>
            </w:pPr>
            <w:r>
              <w:t xml:space="preserve">32.13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U07</w:t>
            </w:r>
          </w:p>
        </w:tc>
        <w:tc>
          <w:tcPr/>
          <w:p>
            <w:pPr>
              <w:pStyle w:val="Compact"/>
            </w:pPr>
            <w:r>
              <w:t xml:space="preserve">COVID-19</w:t>
            </w:r>
          </w:p>
        </w:tc>
        <w:tc>
          <w:tcPr/>
          <w:p>
            <w:pPr>
              <w:pStyle w:val="Compact"/>
            </w:pPr>
            <w:r>
              <w:t xml:space="preserve">1,625</w:t>
            </w:r>
          </w:p>
        </w:tc>
        <w:tc>
          <w:tcPr/>
          <w:p>
            <w:pPr>
              <w:pStyle w:val="Compact"/>
            </w:pPr>
            <w:r>
              <w:t xml:space="preserve">7.75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J96</w:t>
            </w:r>
          </w:p>
        </w:tc>
        <w:tc>
          <w:tcPr/>
          <w:p>
            <w:pPr>
              <w:pStyle w:val="Compact"/>
            </w:pPr>
            <w:r>
              <w:t xml:space="preserve">Respiratory failure</w:t>
            </w:r>
          </w:p>
        </w:tc>
        <w:tc>
          <w:tcPr/>
          <w:p>
            <w:pPr>
              <w:pStyle w:val="Compact"/>
            </w:pPr>
            <w:r>
              <w:t xml:space="preserve">1,170</w:t>
            </w:r>
          </w:p>
        </w:tc>
        <w:tc>
          <w:tcPr/>
          <w:p>
            <w:pPr>
              <w:pStyle w:val="Compact"/>
            </w:pPr>
            <w:r>
              <w:t xml:space="preserve">5.58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I21</w:t>
            </w:r>
          </w:p>
        </w:tc>
        <w:tc>
          <w:tcPr/>
          <w:p>
            <w:pPr>
              <w:pStyle w:val="Compact"/>
            </w:pPr>
            <w:r>
              <w:t xml:space="preserve">Acute myocardial infarction</w:t>
            </w:r>
          </w:p>
        </w:tc>
        <w:tc>
          <w:tcPr/>
          <w:p>
            <w:pPr>
              <w:pStyle w:val="Compact"/>
            </w:pPr>
            <w:r>
              <w:t xml:space="preserve">535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M32</w:t>
            </w:r>
          </w:p>
        </w:tc>
        <w:tc>
          <w:tcPr/>
          <w:p>
            <w:pPr>
              <w:pStyle w:val="Compact"/>
            </w:pPr>
            <w:r>
              <w:t xml:space="preserve">Systemic lupus erythematosus</w:t>
            </w:r>
          </w:p>
        </w:tc>
        <w:tc>
          <w:tcPr/>
          <w:p>
            <w:pPr>
              <w:pStyle w:val="Compact"/>
            </w:pPr>
            <w:r>
              <w:t xml:space="preserve">495</w:t>
            </w:r>
          </w:p>
        </w:tc>
        <w:tc>
          <w:tcPr/>
          <w:p>
            <w:pPr>
              <w:pStyle w:val="Compact"/>
            </w:pPr>
            <w:r>
              <w:t xml:space="preserve">2.36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I13</w:t>
            </w:r>
          </w:p>
        </w:tc>
        <w:tc>
          <w:tcPr/>
          <w:p>
            <w:pPr>
              <w:pStyle w:val="Compact"/>
            </w:pPr>
            <w:r>
              <w:t xml:space="preserve">Hypertensive heart and chronic kidney disease</w:t>
            </w:r>
          </w:p>
        </w:tc>
        <w:tc>
          <w:tcPr/>
          <w:p>
            <w:pPr>
              <w:pStyle w:val="Compact"/>
            </w:pPr>
            <w:r>
              <w:t xml:space="preserve">480</w:t>
            </w:r>
          </w:p>
        </w:tc>
        <w:tc>
          <w:tcPr/>
          <w:p>
            <w:pPr>
              <w:pStyle w:val="Compact"/>
            </w:pPr>
            <w:r>
              <w:t xml:space="preserve">2.29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N17</w:t>
            </w:r>
          </w:p>
        </w:tc>
        <w:tc>
          <w:tcPr/>
          <w:p>
            <w:pPr>
              <w:pStyle w:val="Compact"/>
            </w:pPr>
            <w:r>
              <w:t xml:space="preserve">Acute kidney failure</w:t>
            </w:r>
          </w:p>
        </w:tc>
        <w:tc>
          <w:tcPr/>
          <w:p>
            <w:pPr>
              <w:pStyle w:val="Compact"/>
            </w:pPr>
            <w:r>
              <w:t xml:space="preserve">410</w:t>
            </w:r>
          </w:p>
        </w:tc>
        <w:tc>
          <w:tcPr/>
          <w:p>
            <w:pPr>
              <w:pStyle w:val="Compact"/>
            </w:pPr>
            <w:r>
              <w:t xml:space="preserve">1.95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I63</w:t>
            </w:r>
          </w:p>
        </w:tc>
        <w:tc>
          <w:tcPr/>
          <w:p>
            <w:pPr>
              <w:pStyle w:val="Compact"/>
            </w:pPr>
            <w:r>
              <w:t xml:space="preserve">Cerebral infarction (ischemic stroke)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  <w:tc>
          <w:tcPr/>
          <w:p>
            <w:pPr>
              <w:pStyle w:val="Compact"/>
            </w:pPr>
            <w:r>
              <w:t xml:space="preserve">1.76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Z51</w:t>
            </w:r>
          </w:p>
        </w:tc>
        <w:tc>
          <w:tcPr/>
          <w:p>
            <w:pPr>
              <w:pStyle w:val="Compact"/>
            </w:pPr>
            <w:r>
              <w:t xml:space="preserve">Encounter for other medical care (e.g., chemotherapy, immunotherapy)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1.74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I61</w:t>
            </w:r>
          </w:p>
        </w:tc>
        <w:tc>
          <w:tcPr/>
          <w:p>
            <w:pPr>
              <w:pStyle w:val="Compact"/>
            </w:pPr>
            <w:r>
              <w:t xml:space="preserve">Intracerebral hemorrhage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1.67</w:t>
            </w:r>
          </w:p>
        </w:tc>
      </w:tr>
    </w:tbl>
    <w:bookmarkEnd w:id="48"/>
    <w:bookmarkStart w:id="49" w:name="age-50-6"/>
    <w:p>
      <w:pPr>
        <w:pStyle w:val="Heading3"/>
      </w:pPr>
      <w:r>
        <w:t xml:space="preserve">Age &lt; 50: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7"/>
        <w:gridCol w:w="4668"/>
        <w:gridCol w:w="1167"/>
        <w:gridCol w:w="11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ICD-10 Code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Weighted Count</w:t>
            </w:r>
          </w:p>
        </w:tc>
        <w:tc>
          <w:tcPr/>
          <w:p>
            <w:pPr>
              <w:pStyle w:val="Compact"/>
            </w:pPr>
            <w:r>
              <w:t xml:space="preserve">Proportion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A41</w:t>
            </w:r>
          </w:p>
        </w:tc>
        <w:tc>
          <w:tcPr/>
          <w:p>
            <w:pPr>
              <w:pStyle w:val="Compact"/>
            </w:pPr>
            <w:r>
              <w:t xml:space="preserve">Sepsis</w:t>
            </w:r>
          </w:p>
        </w:tc>
        <w:tc>
          <w:tcPr/>
          <w:p>
            <w:pPr>
              <w:pStyle w:val="Compact"/>
            </w:pPr>
            <w:r>
              <w:t xml:space="preserve">1,375</w:t>
            </w:r>
          </w:p>
        </w:tc>
        <w:tc>
          <w:tcPr/>
          <w:p>
            <w:pPr>
              <w:pStyle w:val="Compact"/>
            </w:pPr>
            <w:r>
              <w:t xml:space="preserve">31.46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J96</w:t>
            </w:r>
          </w:p>
        </w:tc>
        <w:tc>
          <w:tcPr/>
          <w:p>
            <w:pPr>
              <w:pStyle w:val="Compact"/>
            </w:pPr>
            <w:r>
              <w:t xml:space="preserve">Respiratory failure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6.52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U07</w:t>
            </w:r>
          </w:p>
        </w:tc>
        <w:tc>
          <w:tcPr/>
          <w:p>
            <w:pPr>
              <w:pStyle w:val="Compact"/>
            </w:pPr>
            <w:r>
              <w:t xml:space="preserve">COVID-19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5.72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M32</w:t>
            </w:r>
          </w:p>
        </w:tc>
        <w:tc>
          <w:tcPr/>
          <w:p>
            <w:pPr>
              <w:pStyle w:val="Compact"/>
            </w:pPr>
            <w:r>
              <w:t xml:space="preserve">Systemic lupus erythematosus</w:t>
            </w:r>
          </w:p>
        </w:tc>
        <w:tc>
          <w:tcPr/>
          <w:p>
            <w:pPr>
              <w:pStyle w:val="Compact"/>
            </w:pPr>
            <w:r>
              <w:t xml:space="preserve">235</w:t>
            </w:r>
          </w:p>
        </w:tc>
        <w:tc>
          <w:tcPr/>
          <w:p>
            <w:pPr>
              <w:pStyle w:val="Compact"/>
            </w:pPr>
            <w:r>
              <w:t xml:space="preserve">5.38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N17</w:t>
            </w:r>
          </w:p>
        </w:tc>
        <w:tc>
          <w:tcPr/>
          <w:p>
            <w:pPr>
              <w:pStyle w:val="Compact"/>
            </w:pPr>
            <w:r>
              <w:t xml:space="preserve">Acute kidney failure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1.95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T82</w:t>
            </w:r>
          </w:p>
        </w:tc>
        <w:tc>
          <w:tcPr/>
          <w:p>
            <w:pPr>
              <w:pStyle w:val="Compact"/>
            </w:pPr>
            <w:r>
              <w:t xml:space="preserve">Complications of cardiac and vascular prosthetic devices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1.95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I46</w:t>
            </w:r>
          </w:p>
        </w:tc>
        <w:tc>
          <w:tcPr/>
          <w:p>
            <w:pPr>
              <w:pStyle w:val="Compact"/>
            </w:pPr>
            <w:r>
              <w:t xml:space="preserve">Cardiac arrest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A40</w:t>
            </w:r>
          </w:p>
        </w:tc>
        <w:tc>
          <w:tcPr/>
          <w:p>
            <w:pPr>
              <w:pStyle w:val="Compact"/>
            </w:pPr>
            <w:r>
              <w:t xml:space="preserve">Streptococcal sepsis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I26</w:t>
            </w:r>
          </w:p>
        </w:tc>
        <w:tc>
          <w:tcPr/>
          <w:p>
            <w:pPr>
              <w:pStyle w:val="Compact"/>
            </w:pPr>
            <w:r>
              <w:t xml:space="preserve">Pulmonary embolism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I61</w:t>
            </w:r>
          </w:p>
        </w:tc>
        <w:tc>
          <w:tcPr/>
          <w:p>
            <w:pPr>
              <w:pStyle w:val="Compact"/>
            </w:pPr>
            <w:r>
              <w:t xml:space="preserve">Intracerebral hemorrhage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</w:tr>
    </w:tbl>
    <w:bookmarkEnd w:id="49"/>
    <w:bookmarkStart w:id="50" w:name="age-50-7"/>
    <w:p>
      <w:pPr>
        <w:pStyle w:val="Heading3"/>
      </w:pPr>
      <w:r>
        <w:t xml:space="preserve">Age ≥ 50: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4"/>
        <w:gridCol w:w="5033"/>
        <w:gridCol w:w="1036"/>
        <w:gridCol w:w="1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ICD-10 Code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Weighted Count</w:t>
            </w:r>
          </w:p>
        </w:tc>
        <w:tc>
          <w:tcPr/>
          <w:p>
            <w:pPr>
              <w:pStyle w:val="Compact"/>
            </w:pPr>
            <w:r>
              <w:t xml:space="preserve">Proportion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A41</w:t>
            </w:r>
          </w:p>
        </w:tc>
        <w:tc>
          <w:tcPr/>
          <w:p>
            <w:pPr>
              <w:pStyle w:val="Compact"/>
            </w:pPr>
            <w:r>
              <w:t xml:space="preserve">Sepsis</w:t>
            </w:r>
          </w:p>
        </w:tc>
        <w:tc>
          <w:tcPr/>
          <w:p>
            <w:pPr>
              <w:pStyle w:val="Compact"/>
            </w:pPr>
            <w:r>
              <w:t xml:space="preserve">5,365</w:t>
            </w:r>
          </w:p>
        </w:tc>
        <w:tc>
          <w:tcPr/>
          <w:p>
            <w:pPr>
              <w:pStyle w:val="Compact"/>
            </w:pPr>
            <w:r>
              <w:t xml:space="preserve">32.31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U07</w:t>
            </w:r>
          </w:p>
        </w:tc>
        <w:tc>
          <w:tcPr/>
          <w:p>
            <w:pPr>
              <w:pStyle w:val="Compact"/>
            </w:pPr>
            <w:r>
              <w:t xml:space="preserve">COVID-19</w:t>
            </w:r>
          </w:p>
        </w:tc>
        <w:tc>
          <w:tcPr/>
          <w:p>
            <w:pPr>
              <w:pStyle w:val="Compact"/>
            </w:pPr>
            <w:r>
              <w:t xml:space="preserve">1,375</w:t>
            </w:r>
          </w:p>
        </w:tc>
        <w:tc>
          <w:tcPr/>
          <w:p>
            <w:pPr>
              <w:pStyle w:val="Compact"/>
            </w:pPr>
            <w:r>
              <w:t xml:space="preserve">8.28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J96</w:t>
            </w:r>
          </w:p>
        </w:tc>
        <w:tc>
          <w:tcPr/>
          <w:p>
            <w:pPr>
              <w:pStyle w:val="Compact"/>
            </w:pPr>
            <w:r>
              <w:t xml:space="preserve">Respiratory failure</w:t>
            </w:r>
          </w:p>
        </w:tc>
        <w:tc>
          <w:tcPr/>
          <w:p>
            <w:pPr>
              <w:pStyle w:val="Compact"/>
            </w:pPr>
            <w:r>
              <w:t xml:space="preserve">885</w:t>
            </w:r>
          </w:p>
        </w:tc>
        <w:tc>
          <w:tcPr/>
          <w:p>
            <w:pPr>
              <w:pStyle w:val="Compact"/>
            </w:pPr>
            <w:r>
              <w:t xml:space="preserve">5.33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I21</w:t>
            </w:r>
          </w:p>
        </w:tc>
        <w:tc>
          <w:tcPr/>
          <w:p>
            <w:pPr>
              <w:pStyle w:val="Compact"/>
            </w:pPr>
            <w:r>
              <w:t xml:space="preserve">Acute myocardial infarction</w:t>
            </w:r>
          </w:p>
        </w:tc>
        <w:tc>
          <w:tcPr/>
          <w:p>
            <w:pPr>
              <w:pStyle w:val="Compact"/>
            </w:pPr>
            <w:r>
              <w:t xml:space="preserve">495</w:t>
            </w:r>
          </w:p>
        </w:tc>
        <w:tc>
          <w:tcPr/>
          <w:p>
            <w:pPr>
              <w:pStyle w:val="Compact"/>
            </w:pPr>
            <w:r>
              <w:t xml:space="preserve">2.98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I13</w:t>
            </w:r>
          </w:p>
        </w:tc>
        <w:tc>
          <w:tcPr/>
          <w:p>
            <w:pPr>
              <w:pStyle w:val="Compact"/>
            </w:pPr>
            <w:r>
              <w:t xml:space="preserve">Hypertensive heart and chronic kidney disease</w:t>
            </w:r>
          </w:p>
        </w:tc>
        <w:tc>
          <w:tcPr/>
          <w:p>
            <w:pPr>
              <w:pStyle w:val="Compact"/>
            </w:pPr>
            <w:r>
              <w:t xml:space="preserve">440</w:t>
            </w:r>
          </w:p>
        </w:tc>
        <w:tc>
          <w:tcPr/>
          <w:p>
            <w:pPr>
              <w:pStyle w:val="Compact"/>
            </w:pPr>
            <w:r>
              <w:t xml:space="preserve">2.65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Z51</w:t>
            </w:r>
          </w:p>
        </w:tc>
        <w:tc>
          <w:tcPr/>
          <w:p>
            <w:pPr>
              <w:pStyle w:val="Compact"/>
            </w:pPr>
            <w:r>
              <w:t xml:space="preserve">Encounter for other medical care (e.g., chemotherapy, immunotherapy)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2.08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N17</w:t>
            </w:r>
          </w:p>
        </w:tc>
        <w:tc>
          <w:tcPr/>
          <w:p>
            <w:pPr>
              <w:pStyle w:val="Compact"/>
            </w:pPr>
            <w:r>
              <w:t xml:space="preserve">Acute kidney failure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I63</w:t>
            </w:r>
          </w:p>
        </w:tc>
        <w:tc>
          <w:tcPr/>
          <w:p>
            <w:pPr>
              <w:pStyle w:val="Compact"/>
            </w:pPr>
            <w:r>
              <w:t xml:space="preserve">Cerebral infarction (ischemic stroke)</w:t>
            </w:r>
          </w:p>
        </w:tc>
        <w:tc>
          <w:tcPr/>
          <w:p>
            <w:pPr>
              <w:pStyle w:val="Compact"/>
            </w:pPr>
            <w:r>
              <w:t xml:space="preserve">315</w:t>
            </w:r>
          </w:p>
        </w:tc>
        <w:tc>
          <w:tcPr/>
          <w:p>
            <w:pPr>
              <w:pStyle w:val="Compact"/>
            </w:pPr>
            <w:r>
              <w:t xml:space="preserve">1.90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J18</w:t>
            </w:r>
          </w:p>
        </w:tc>
        <w:tc>
          <w:tcPr/>
          <w:p>
            <w:pPr>
              <w:pStyle w:val="Compact"/>
            </w:pPr>
            <w:r>
              <w:t xml:space="preserve">Pneumonia, unspecified organism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1.78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I11</w:t>
            </w:r>
          </w:p>
        </w:tc>
        <w:tc>
          <w:tcPr/>
          <w:p>
            <w:pPr>
              <w:pStyle w:val="Compact"/>
            </w:pPr>
            <w:r>
              <w:t xml:space="preserve">Hypertensive heart disease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1.78</w:t>
            </w:r>
          </w:p>
        </w:tc>
      </w:tr>
    </w:tbl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crjournals.onlinelibrary.wiley.com/doi/10.1002/acr2.111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crjournals.onlinelibrary.wiley.com/doi/10.1002/acr2.111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Age &lt;50 Versus ≥50 Years on In-Hospital Outcomes in Women with SLE</dc:title>
  <dc:creator>Eliza Aisha</dc:creator>
  <cp:keywords/>
  <dcterms:created xsi:type="dcterms:W3CDTF">2026-04-09T05:00:28Z</dcterms:created>
  <dcterms:modified xsi:type="dcterms:W3CDTF">2026-04-09T05:00:28Z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 National Inpatient Sample Analysis</vt:lpwstr>
  </property>
  <property fmtid="{D5CDD505-2E9C-101B-9397-08002B2CF9AE}" pid="12" name="toc-title">
    <vt:lpwstr>Table of contents</vt:lpwstr>
  </property>
</Properties>
</file>