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Disparities</w:t>
      </w:r>
      <w:r>
        <w:t xml:space="preserve"> </w:t>
      </w:r>
      <w:r>
        <w:t xml:space="preserve">in</w:t>
      </w:r>
      <w:r>
        <w:t xml:space="preserve"> </w:t>
      </w:r>
      <w:r>
        <w:t xml:space="preserve">Women</w:t>
      </w:r>
      <w:r>
        <w:t xml:space="preserve"> </w:t>
      </w:r>
      <w:r>
        <w:t xml:space="preserve">Undergoing</w:t>
      </w:r>
      <w:r>
        <w:t xml:space="preserve"> </w:t>
      </w:r>
      <w:r>
        <w:t xml:space="preserve">Coronary</w:t>
      </w:r>
      <w:r>
        <w:t xml:space="preserve"> </w:t>
      </w:r>
      <w:r>
        <w:t xml:space="preserve">Artery</w:t>
      </w:r>
      <w:r>
        <w:t xml:space="preserve"> </w:t>
      </w:r>
      <w:r>
        <w:t xml:space="preserve">Bypass</w:t>
      </w:r>
      <w:r>
        <w:t xml:space="preserve"> </w:t>
      </w:r>
      <w:r>
        <w:t xml:space="preserve">Graft</w:t>
      </w:r>
      <w:r>
        <w:t xml:space="preserve"> </w:t>
      </w:r>
      <w:r>
        <w:t xml:space="preserve">Surgery</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Surgery2</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To investigate racial disparities in in-hospital outcomes among female patients undergoing coronary artery bypass graft (CABG) surgery.</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Female inpatient admissions with CABG surgery as the principal procedure were included in the analysis.</w:t>
      </w:r>
    </w:p>
    <w:p>
      <w:pPr>
        <w:numPr>
          <w:ilvl w:val="0"/>
          <w:numId w:val="1001"/>
        </w:numPr>
      </w:pPr>
      <w:r>
        <w:rPr>
          <w:b/>
          <w:bCs/>
        </w:rPr>
        <w:t xml:space="preserve">Primary Outcomes</w:t>
      </w:r>
      <w:r>
        <w:t xml:space="preserve">:</w:t>
      </w:r>
    </w:p>
    <w:p>
      <w:pPr>
        <w:pStyle w:val="Compact"/>
        <w:numPr>
          <w:ilvl w:val="1"/>
          <w:numId w:val="1002"/>
        </w:numPr>
      </w:pPr>
      <w:r>
        <w:t xml:space="preserve">In-hospital mortality</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Secondary Outcomes</w:t>
      </w:r>
      <w:r>
        <w:t xml:space="preserve">:</w:t>
      </w:r>
    </w:p>
    <w:p>
      <w:pPr>
        <w:pStyle w:val="Compact"/>
        <w:numPr>
          <w:ilvl w:val="1"/>
          <w:numId w:val="1003"/>
        </w:numPr>
      </w:pPr>
      <w:r>
        <w:t xml:space="preserve">Cardiogenic shock</w:t>
      </w:r>
    </w:p>
    <w:p>
      <w:pPr>
        <w:pStyle w:val="Compact"/>
        <w:numPr>
          <w:ilvl w:val="1"/>
          <w:numId w:val="1003"/>
        </w:numPr>
      </w:pPr>
      <w:r>
        <w:t xml:space="preserve">Major bleeding</w:t>
      </w:r>
    </w:p>
    <w:p>
      <w:pPr>
        <w:pStyle w:val="Compact"/>
        <w:numPr>
          <w:ilvl w:val="1"/>
          <w:numId w:val="1003"/>
        </w:numPr>
      </w:pPr>
      <w:r>
        <w:t xml:space="preserve">Venous thromboembolism</w:t>
      </w:r>
    </w:p>
    <w:p>
      <w:pPr>
        <w:pStyle w:val="Compact"/>
        <w:numPr>
          <w:ilvl w:val="1"/>
          <w:numId w:val="1003"/>
        </w:numPr>
      </w:pPr>
      <w:r>
        <w:t xml:space="preserve">Acute kidney injury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women undergoing CABG surgery, respectively, adjusted for:</w:t>
      </w:r>
    </w:p>
    <w:p>
      <w:pPr>
        <w:numPr>
          <w:ilvl w:val="1"/>
          <w:numId w:val="1004"/>
        </w:numPr>
      </w:pPr>
      <w:r>
        <w:t xml:space="preserve">Demographics: Age, sex, race, residential income, insurance, hospital region, hospital bedsize, hospital location, and teaching status.</w:t>
      </w:r>
    </w:p>
    <w:p>
      <w:pPr>
        <w:numPr>
          <w:ilvl w:val="1"/>
          <w:numId w:val="1004"/>
        </w:numPr>
      </w:pPr>
      <w:r>
        <w:t xml:space="preserve">Medical History: Hypertension, diabetes mellitus, fluid/electrolytes imbalance, liver disease, peripheral vascular disease, heart failure, chronic kidney disease, chronic obstructive pulmonary disease, anemia, obesity, prior PCI, prior MI, prior cardiac surgery.</w:t>
      </w:r>
    </w:p>
    <w:p>
      <w:pPr>
        <w:numPr>
          <w:ilvl w:val="1"/>
          <w:numId w:val="1004"/>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8,595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(61,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(60,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43,450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66,590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18,875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61,440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83,130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84,095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113,985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89,055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121,370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10,090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50,470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41,755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35,285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8,595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189,014 (131,780, 288,174)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199,525 (137,404, 308,242)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209,884 (146,881, 328,386)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265,084 (181,392, 400,569)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240,236 (159,504, 379,497)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12,930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29"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4.97, 7.01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18,311, 41,525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33,825, 64,253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12,335, 46,296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-8,600, 6,941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-13,136, 4,548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-6,540, 19,607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3,673, 26,488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3,089, 18,951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-15,521, 20,882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-9,439, 45,415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42,046, 82,492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67,262, 120,026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-42,245, -1,963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134,503, 190,016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37,656, 66,834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-26,297, 682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23,984, 54,764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-7,231, 20,004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-11,262, 22,073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17,074, 65,301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13,224, 54,077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-61,083, -33,208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-45,715, -29,275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54,797, 71,678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-20,836, 5,516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-19,814, -2,750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-16,465, 3,349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99,231, 147,293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61,897, 75,554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-3,753, 24,466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-12,024,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-16,598, -4,727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-54,367, -40,434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27,902, 62,474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13,583, 21,852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Disparities in Women Undergoing Coronary Artery Bypass Graft Surgery</dc:title>
  <dc:creator>Eliza Aisha</dc:creator>
  <cp:keywords/>
  <dcterms:created xsi:type="dcterms:W3CDTF">2025-03-08T18:37:28Z</dcterms:created>
  <dcterms:modified xsi:type="dcterms:W3CDTF">2025-03-08T18:37:28Z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Surgery2</vt:lpwstr>
  </property>
  <property fmtid="{D5CDD505-2E9C-101B-9397-08002B2CF9AE}" pid="12" name="toc-title">
    <vt:lpwstr>Table of contents</vt:lpwstr>
  </property>
</Properties>
</file>