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Tumor Lysis Syndrome in Acute Myeloid Leukemia vs Acute Lymphoblastic Leukemia: A National Inpatient Sample Analysis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The primary objective of this study was to evaluate and assess the outcomes of tumor lysis syndrome among patients hospitalized with AML vs ALL, using a nationally representative inpatient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tumor lysis syndrome (ICD 10:E88.3)</w:t>
      </w:r>
    </w:p>
    <w:p>
      <w:pPr>
        <w:numPr>
          <w:ilvl w:val="1"/>
          <w:numId w:val="1002"/>
        </w:numPr>
      </w:pPr>
      <w:r>
        <w:t xml:space="preserve">Information for AML (ICD 10: C91.0) or ALL (ICD 10: C92.0)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Patient requiring renal replacement therapy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Patient 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Disseminated intravascular coagulation</w:t>
      </w:r>
    </w:p>
    <w:p>
      <w:pPr>
        <w:numPr>
          <w:ilvl w:val="1"/>
          <w:numId w:val="1004"/>
        </w:numPr>
      </w:pPr>
      <w:r>
        <w:t xml:space="preserve">Fluid and electrolyte imbalance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were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weekend admission, type of admission (elective/non-elective),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Hypertension, diabetes mellitus, chronic kidney disease, peripheral vascular disease, chronic pulmonary disease, heart failure, anemia, liver disease, and coagulopathy.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4" w:name="descriptive-analysis"/>
    <w:p>
      <w:pPr>
        <w:pStyle w:val="Heading2"/>
      </w:pPr>
      <w:r>
        <w:t xml:space="preserve">Descriptive analysis</w:t>
      </w:r>
    </w:p>
    <w:bookmarkStart w:id="21" w:name="X1132163a68e5ed6cb4c32147ed878c59544184a"/>
    <w:p>
      <w:pPr>
        <w:pStyle w:val="Heading3"/>
      </w:pPr>
      <w:r>
        <w:t xml:space="preserve">Baseline Characteristics of all patients with tumor lysis syndrome: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14,105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(51, 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8,920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9,180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1,665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11,290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2,815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1,945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12,120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3,495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4,645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1,915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7,125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5,085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3,275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10,270 (73%)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(10.0%)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13,205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2,955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690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11,015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(57%)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bookmarkEnd w:id="21"/>
    <w:bookmarkStart w:id="22" w:name="baseline-characteristics-of-aml-and-all"/>
    <w:p>
      <w:pPr>
        <w:pStyle w:val="Heading3"/>
      </w:pPr>
      <w:r>
        <w:t xml:space="preserve">Baseline Characteristics of AML and ALL: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Myeloid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4,365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Lymphoblastic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9,740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(31,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(60,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3,550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7,740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3,680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5,910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955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4,170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9,035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7,400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5,625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Myeloid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4,365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Lymphoblastic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9,740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249,117 (116,283, 441,492)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182,464 (79,493, 385,119)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6,810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Disseminated intravascular coagulation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3,155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imbalance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6,710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33" w:name="multivariable-logistic-regression"/>
    <w:p>
      <w:pPr>
        <w:pStyle w:val="Heading2"/>
      </w:pPr>
      <w:r>
        <w:t xml:space="preserve">Multivariable Logistic Regression:</w:t>
      </w:r>
    </w:p>
    <w:bookmarkStart w:id="25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1.98, 3.42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0.72, 46.5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2.63, 4.76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0.64, 7.36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2.02, 3.25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1.85, 3.13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1.50, 2.70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0.51, 6.85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2.28, 4.52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disseminated-intravascular-coagulation"/>
    <w:p>
      <w:pPr>
        <w:pStyle w:val="Heading3"/>
      </w:pPr>
      <w:r>
        <w:t xml:space="preserve">Disseminated intravascular coagulation: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120,911,746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102,802,768, 142,210,669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0.24, 6.03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End w:id="33"/>
    <w:bookmarkStart w:id="36" w:name="multivariable-linear-regression"/>
    <w:p>
      <w:pPr>
        <w:pStyle w:val="Heading2"/>
      </w:pPr>
      <w:r>
        <w:t xml:space="preserve">Multivariable Linear Regression:</w:t>
      </w:r>
    </w:p>
    <w:bookmarkStart w:id="34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-4.0, 3.4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-3.7, 0.38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-0.62, 4.1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-0.04, 4.8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-5.1, 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-8.9, 5.0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-4.9, 8.2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0.01, 5.0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-3.7, 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7.4, 10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4"/>
    <w:bookmarkStart w:id="35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-17,485, 62,034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-43,799, 30,646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-135,383, 77,242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-50,277, 36,011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-37,171, 95,494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-63,820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-163,477, 35,838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-47,300, 92,061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-5,797, -2,005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-49,829, 64,383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-56,019, 36,386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-51,229, 39,466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-46,182, 100,729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-80,220, 35,119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-140,142, 218,053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-10,645, 66,164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-35,258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-96,276, 25,761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44,413, 186,111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-52,721, 33,119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92,019, 236,975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-88,256, 23,339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-99,861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-142,845, -56,878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-13,588, 172,941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77,602, 246,544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-12,487, 113,842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-61,133, 13,187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-78,909, 29,484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24,691, 123,904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-103,598, 23,253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-103,303, -9,147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28,090, 153,776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124,151, 187,168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-10,017, 57,549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Tumor Lysis Syndrome in Acute Myeloid Leukemia vs Acute Lymphoblastic Leukemia: A National Inpatient Sample Analysis</dc:title>
  <dc:creator>Eliza Aisha</dc:creator>
  <cp:keywords/>
  <dcterms:created xsi:type="dcterms:W3CDTF">2026-01-07T08:19:45Z</dcterms:created>
  <dcterms:modified xsi:type="dcterms:W3CDTF">2026-01-07T08:19:45Z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