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Outcomes Following LVAD Implantation in Patients with Cancer: A Nationwide Analysis of Readmissions, Mortality, and Resource Utilization</w:t>
      </w:r>
    </w:p>
    <w:p>
      <w:pPr>
        <w:pStyle w:val="Subtitle"/>
      </w:pPr>
      <w:r>
        <w:t xml:space="preserve">An Analysis of the Nationwide Readmissions Database, 2016-2017</w:t>
      </w:r>
    </w:p>
    <w:p>
      <w:pPr>
        <w:pStyle w:val="Author"/>
      </w:pPr>
      <w:r>
        <w:t xml:space="preserve">Eliza Aisha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Agrawal et al., 2018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identify patient- and hospital-level predictors of 30-day all-cause hospital readmission among adults patients with/without cancer undergoing LVAD implantation using a nationally representative dataset. This study also evaluates the clinical and economic burden of readmission in this high-risk population, including its association with in-hospital mortality.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A retrospective cohort study using the 2016–2017 Nationwide Readmissions Database (NRD), developed by the Healthcare Cost and Utilization Project (HCUP). The NRD enables tracking of individual patients across hospitalizations within a given year via synthetic identifiers, capturing discharges from U.S. community hospitals and supporting survey-weighted national estimates through complex sampling design.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Inclusion criteria:</w:t>
      </w:r>
    </w:p>
    <w:p>
      <w:pPr>
        <w:numPr>
          <w:ilvl w:val="1"/>
          <w:numId w:val="1003"/>
        </w:numPr>
      </w:pPr>
      <w:r>
        <w:t xml:space="preserve">Patients aged &gt;= 18 years</w:t>
      </w:r>
    </w:p>
    <w:p>
      <w:pPr>
        <w:numPr>
          <w:ilvl w:val="1"/>
          <w:numId w:val="1003"/>
        </w:numPr>
      </w:pPr>
      <w:r>
        <w:t xml:space="preserve">Patients who underwent LVAD implantation (ICD-10 PCS: 02HA0QZ)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LOS and NRD_DAYSTOEVENT, required to compute discharge dates</w:t>
      </w:r>
    </w:p>
    <w:p>
      <w:pPr>
        <w:numPr>
          <w:ilvl w:val="0"/>
          <w:numId w:val="1000"/>
        </w:numPr>
      </w:pPr>
      <w:r>
        <w:t xml:space="preserve">Exclusion criteria:</w:t>
      </w:r>
    </w:p>
    <w:p>
      <w:pPr>
        <w:numPr>
          <w:ilvl w:val="1"/>
          <w:numId w:val="1004"/>
        </w:numPr>
      </w:pPr>
      <w:r>
        <w:t xml:space="preserve">Heart transplant-related admissions</w:t>
      </w:r>
    </w:p>
    <w:p>
      <w:pPr>
        <w:numPr>
          <w:ilvl w:val="1"/>
          <w:numId w:val="1004"/>
        </w:numPr>
      </w:pPr>
      <w:r>
        <w:t xml:space="preserve">Patients undergoing BiVAD implantation</w:t>
      </w:r>
    </w:p>
    <w:p>
      <w:pPr>
        <w:numPr>
          <w:ilvl w:val="1"/>
          <w:numId w:val="1004"/>
        </w:numPr>
      </w:pPr>
      <w:r>
        <w:t xml:space="preserve">Trauma-related hospitalizations were excluded only from the readmission pool to avoid injury-related returns unrelated to the index LVAD hospitalization.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Exposure:</w:t>
      </w:r>
    </w:p>
    <w:p>
      <w:pPr>
        <w:numPr>
          <w:ilvl w:val="1"/>
          <w:numId w:val="1005"/>
        </w:numPr>
      </w:pPr>
      <w:r>
        <w:t xml:space="preserve">The primary exposure was cancer (ICD 10 CM: C00-C96)</w:t>
      </w:r>
    </w:p>
    <w:p>
      <w:pPr>
        <w:numPr>
          <w:ilvl w:val="2"/>
          <w:numId w:val="1006"/>
        </w:numPr>
      </w:pPr>
      <w:r>
        <w:t xml:space="preserve">With Cancer</w:t>
      </w:r>
    </w:p>
    <w:p>
      <w:pPr>
        <w:numPr>
          <w:ilvl w:val="2"/>
          <w:numId w:val="1006"/>
        </w:numPr>
      </w:pPr>
      <w:r>
        <w:t xml:space="preserve">Without Cancer</w:t>
      </w:r>
    </w:p>
    <w:p>
      <w:pPr>
        <w:numPr>
          <w:ilvl w:val="0"/>
          <w:numId w:val="1000"/>
        </w:numPr>
      </w:pPr>
      <w:r>
        <w:t xml:space="preserve">Cancer status was assessed only during the index hospitalization, not during readmissions.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Outcomes:</w:t>
      </w:r>
    </w:p>
    <w:p>
      <w:pPr>
        <w:numPr>
          <w:ilvl w:val="1"/>
          <w:numId w:val="1007"/>
        </w:numPr>
      </w:pPr>
      <w:r>
        <w:t xml:space="preserve">Primary outcomes:</w:t>
      </w:r>
    </w:p>
    <w:p>
      <w:pPr>
        <w:pStyle w:val="Compact"/>
        <w:numPr>
          <w:ilvl w:val="2"/>
          <w:numId w:val="1008"/>
        </w:numPr>
      </w:pPr>
      <w:r>
        <w:t xml:space="preserve">30-day all-cause readmission</w:t>
      </w:r>
    </w:p>
    <w:p>
      <w:pPr>
        <w:numPr>
          <w:ilvl w:val="1"/>
          <w:numId w:val="1007"/>
        </w:numPr>
      </w:pPr>
      <w:r>
        <w:t xml:space="preserve">Secondary outcomes:</w:t>
      </w:r>
    </w:p>
    <w:p>
      <w:pPr>
        <w:numPr>
          <w:ilvl w:val="2"/>
          <w:numId w:val="1009"/>
        </w:numPr>
      </w:pPr>
      <w:r>
        <w:t xml:space="preserve">In-hospital mortality during the index hospitalization</w:t>
      </w:r>
    </w:p>
    <w:p>
      <w:pPr>
        <w:numPr>
          <w:ilvl w:val="2"/>
          <w:numId w:val="1009"/>
        </w:numPr>
      </w:pPr>
      <w:r>
        <w:t xml:space="preserve">Length of stay (LOS), measured in days</w:t>
      </w:r>
    </w:p>
    <w:p>
      <w:pPr>
        <w:numPr>
          <w:ilvl w:val="2"/>
          <w:numId w:val="1009"/>
        </w:numPr>
      </w:pPr>
      <w:r>
        <w:t xml:space="preserve">Inflation-adjusted total hospital charges, expressed in 2017 U.S. dollars</w:t>
      </w:r>
    </w:p>
    <w:p>
      <w:pPr>
        <w:numPr>
          <w:ilvl w:val="2"/>
          <w:numId w:val="1009"/>
        </w:numPr>
      </w:pPr>
      <w:r>
        <w:t xml:space="preserve">Non-home discharge disposition (transfer, skilled nursing/intermediate facility, AMA, unknown destination, or in-hospital death)</w:t>
      </w:r>
    </w:p>
    <w:p>
      <w:pPr>
        <w:numPr>
          <w:ilvl w:val="2"/>
          <w:numId w:val="1009"/>
        </w:numPr>
      </w:pPr>
      <w:r>
        <w:t xml:space="preserve">Acute kidney injury</w:t>
      </w:r>
    </w:p>
    <w:p>
      <w:pPr>
        <w:numPr>
          <w:ilvl w:val="2"/>
          <w:numId w:val="1009"/>
        </w:numPr>
      </w:pPr>
      <w:r>
        <w:t xml:space="preserve">Sepsis</w:t>
      </w:r>
    </w:p>
    <w:p>
      <w:pPr>
        <w:numPr>
          <w:ilvl w:val="2"/>
          <w:numId w:val="1009"/>
        </w:numPr>
      </w:pPr>
      <w:r>
        <w:t xml:space="preserve">Major bleed (Composite of GI bleed and intracranial hemorrhage)</w:t>
      </w:r>
    </w:p>
    <w:p>
      <w:pPr>
        <w:numPr>
          <w:ilvl w:val="1"/>
          <w:numId w:val="1007"/>
        </w:numPr>
      </w:pPr>
      <w:r>
        <w:t xml:space="preserve">Top cardiovascular causes of readmission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Covariates:</w:t>
      </w:r>
    </w:p>
    <w:p>
      <w:pPr>
        <w:numPr>
          <w:ilvl w:val="1"/>
          <w:numId w:val="1010"/>
        </w:numPr>
      </w:pPr>
      <w:r>
        <w:t xml:space="preserve">Demographics: age, sex, primary expected payer and median household income quartile by ZIP code.</w:t>
      </w:r>
    </w:p>
    <w:p>
      <w:pPr>
        <w:numPr>
          <w:ilvl w:val="1"/>
          <w:numId w:val="1010"/>
        </w:numPr>
      </w:pPr>
      <w:r>
        <w:t xml:space="preserve">Clinical characteristics: Elixhauser comorbidity index, length of stay, non-home discharge.</w:t>
      </w:r>
    </w:p>
    <w:p>
      <w:pPr>
        <w:numPr>
          <w:ilvl w:val="1"/>
          <w:numId w:val="1010"/>
        </w:numPr>
      </w:pPr>
      <w:r>
        <w:t xml:space="preserve">Hospital characteristics: hospital bed size, and hospital location/teaching.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11"/>
        </w:numPr>
      </w:pPr>
      <w:r>
        <w:t xml:space="preserve">Survey Design and Weighting:</w:t>
      </w:r>
    </w:p>
    <w:p>
      <w:pPr>
        <w:pStyle w:val="Compact"/>
        <w:numPr>
          <w:ilvl w:val="2"/>
          <w:numId w:val="1012"/>
        </w:numPr>
      </w:pPr>
      <w:r>
        <w:t xml:space="preserve">All analyses incorporated NRD’s complex sampling design via the survey and srvyr packages.</w:t>
      </w:r>
    </w:p>
    <w:p>
      <w:pPr>
        <w:numPr>
          <w:ilvl w:val="1"/>
          <w:numId w:val="1011"/>
        </w:numPr>
      </w:pPr>
      <w:r>
        <w:t xml:space="preserve">Descriptive Statistics:</w:t>
      </w:r>
    </w:p>
    <w:p>
      <w:pPr>
        <w:numPr>
          <w:ilvl w:val="2"/>
          <w:numId w:val="1013"/>
        </w:numPr>
      </w:pPr>
      <w:r>
        <w:t xml:space="preserve">Weighted baseline characteristics of index hospitalizations were summarized and stratified by cancer status to compare those with vs without cancer.</w:t>
      </w:r>
    </w:p>
    <w:p>
      <w:pPr>
        <w:numPr>
          <w:ilvl w:val="2"/>
          <w:numId w:val="1013"/>
        </w:numPr>
      </w:pPr>
      <w:r>
        <w:t xml:space="preserve">P-values from statistical tests (Rao–Scott adjusted chi-square for categorical variables; Kruskal–Wallis test for continuous variables).</w:t>
      </w:r>
    </w:p>
    <w:p>
      <w:pPr>
        <w:numPr>
          <w:ilvl w:val="1"/>
          <w:numId w:val="1011"/>
        </w:numPr>
      </w:pPr>
      <w:r>
        <w:t xml:space="preserve">Multivariable Regression:</w:t>
      </w:r>
    </w:p>
    <w:p>
      <w:pPr>
        <w:numPr>
          <w:ilvl w:val="2"/>
          <w:numId w:val="1014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14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14"/>
        </w:numPr>
      </w:pPr>
      <w:r>
        <w:t xml:space="preserve">Results were exponentiated to yield odds ratios (ORs) with 95% confidence intervals.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4" w:name="descriptive-analyses"/>
    <w:p>
      <w:pPr>
        <w:pStyle w:val="Heading2"/>
      </w:pPr>
      <w:r>
        <w:t xml:space="preserve">Descriptive Analyses</w:t>
      </w:r>
    </w:p>
    <w:bookmarkStart w:id="22" w:name="baseline-characteristics"/>
    <w:p>
      <w:pPr>
        <w:pStyle w:val="Heading3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8,087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Cancer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7,637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Cancer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6,206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5,881 (77%)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1,881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2,762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2,616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4,023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3,772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251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318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303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2,255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2,123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1,970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1,424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 (2.1%)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7,269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6,844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425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655 (8.1%)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629 (8.2%)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250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7,837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7,393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444 (99%)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7.47 (2.37)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7.44 (2.39)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8.05 (2.08)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2"/>
    <w:bookmarkStart w:id="23" w:name="outcomes-of-index-hospitalizations"/>
    <w:p>
      <w:pPr>
        <w:pStyle w:val="Heading3"/>
      </w:pPr>
      <w:r>
        <w:t xml:space="preserve">Outcomes of Index Hospitalizations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8,087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Cancer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7,637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Cancer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451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1,230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802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(20, 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(20, 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(28, 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774,182 (568,518, 1,130,723)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767,108 (563,602, 1,123,244)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935,208 (662,498, 1,401,666)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 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1,882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1,758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5,358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4,998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1,028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Major bleed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3"/>
    <w:bookmarkEnd w:id="24"/>
    <w:bookmarkStart w:id="29" w:name="multivariable-logistic-regression"/>
    <w:p>
      <w:pPr>
        <w:pStyle w:val="Heading2"/>
      </w:pPr>
      <w:r>
        <w:t xml:space="preserve">Multivariable Logistic Regression</w:t>
      </w:r>
    </w:p>
    <w:bookmarkStart w:id="25" w:name="predictors-of-30-day-readmission"/>
    <w:p>
      <w:pPr>
        <w:pStyle w:val="Heading3"/>
      </w:pPr>
      <w:r>
        <w:t xml:space="preserve">Predictors of 30-Day Readmission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0.56, 2.75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0.38, 2.49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 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acute-kidney-injury"/>
    <w:p>
      <w:pPr>
        <w:pStyle w:val="Heading3"/>
      </w:pPr>
      <w:r>
        <w:t xml:space="preserve">Acute kidney injury: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1.04, 2.28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1.09, 9.89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0.82, 8.20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0.42, 2.06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 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2.23, 3.44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sepsis"/>
    <w:p>
      <w:pPr>
        <w:pStyle w:val="Heading3"/>
      </w:pPr>
      <w:r>
        <w:t xml:space="preserve">Sepsis: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1.19, 2.45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0.72, 9.83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0.56, 8.42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 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3.19, 5.63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major-bleed"/>
    <w:p>
      <w:pPr>
        <w:pStyle w:val="Heading3"/>
      </w:pPr>
      <w:r>
        <w:t xml:space="preserve">Major Bleed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1.46, 2.73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0.53, 2.46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0.27, 2.61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0.21, 2.77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0.81, 5.57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 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1.58, 2.87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End w:id="29"/>
    <w:bookmarkStart w:id="32" w:name="multivariable-linear-regression"/>
    <w:p>
      <w:pPr>
        <w:pStyle w:val="Heading2"/>
      </w:pPr>
      <w:r>
        <w:t xml:space="preserve">Multivariable Linear Regression</w:t>
      </w:r>
    </w:p>
    <w:bookmarkStart w:id="30" w:name="length-of-stay"/>
    <w:p>
      <w:pPr>
        <w:pStyle w:val="Heading3"/>
      </w:pPr>
      <w:r>
        <w:t xml:space="preserve">Length of Stay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67.9, 409,867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1.58, 193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0.00, 6.91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0.01, 1.62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0.01, 8.47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0.00, 1,287,300,692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0.00, 1,433,894,441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0.72, 429,374,367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3.09, 6.70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 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3,633,167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121,549, 108,597,139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0"/>
    <w:bookmarkStart w:id="31" w:name="inflation-adjusted-total-charge"/>
    <w:p>
      <w:pPr>
        <w:pStyle w:val="Heading3"/>
      </w:pPr>
      <w:r>
        <w:t xml:space="preserve">Inflation-adjusted Total Charge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exp(Beta)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Metropolitan,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 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Inf, Inf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1"/>
    <w:bookmarkEnd w:id="32"/>
    <w:bookmarkStart w:id="33" w:name="top-cardiovascular-causes-of-readmission"/>
    <w:p>
      <w:pPr>
        <w:pStyle w:val="Heading2"/>
      </w:pPr>
      <w:r>
        <w:t xml:space="preserve">Top Cardiovascular Causes of Readmission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4689"/>
        <w:gridCol w:w="625"/>
        <w:gridCol w:w="11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Diagnosis code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Proportion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I50</w:t>
            </w:r>
          </w:p>
        </w:tc>
        <w:tc>
          <w:tcPr/>
          <w:p>
            <w:pPr>
              <w:pStyle w:val="Compact"/>
            </w:pPr>
            <w:r>
              <w:t xml:space="preserve">Heart failure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0.077305643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I47</w:t>
            </w:r>
          </w:p>
        </w:tc>
        <w:tc>
          <w:tcPr/>
          <w:p>
            <w:pPr>
              <w:pStyle w:val="Compact"/>
            </w:pPr>
            <w:r>
              <w:t xml:space="preserve">Paroxysmal tachycardia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0.069625446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I13</w:t>
            </w:r>
          </w:p>
        </w:tc>
        <w:tc>
          <w:tcPr/>
          <w:p>
            <w:pPr>
              <w:pStyle w:val="Compact"/>
            </w:pPr>
            <w:r>
              <w:t xml:space="preserve">Hypertensive heart and chronic kidney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0.043412529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I11</w:t>
            </w:r>
          </w:p>
        </w:tc>
        <w:tc>
          <w:tcPr/>
          <w:p>
            <w:pPr>
              <w:pStyle w:val="Compact"/>
            </w:pPr>
            <w:r>
              <w:t xml:space="preserve">Hypertensive heart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0.025896903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I25</w:t>
            </w:r>
          </w:p>
        </w:tc>
        <w:tc>
          <w:tcPr/>
          <w:p>
            <w:pPr>
              <w:pStyle w:val="Compact"/>
            </w:pPr>
            <w:r>
              <w:t xml:space="preserve">Chronic ischemic heart disease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0.014436723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I63</w:t>
            </w:r>
          </w:p>
        </w:tc>
        <w:tc>
          <w:tcPr/>
          <w:p>
            <w:pPr>
              <w:pStyle w:val="Compact"/>
            </w:pPr>
            <w:r>
              <w:t xml:space="preserve">Cerebral infarction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0.011001188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I95</w:t>
            </w:r>
          </w:p>
        </w:tc>
        <w:tc>
          <w:tcPr/>
          <w:p>
            <w:pPr>
              <w:pStyle w:val="Compact"/>
            </w:pPr>
            <w:r>
              <w:t xml:space="preserve">Hypotension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0.009622587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I10</w:t>
            </w:r>
          </w:p>
        </w:tc>
        <w:tc>
          <w:tcPr/>
          <w:p>
            <w:pPr>
              <w:pStyle w:val="Compact"/>
            </w:pPr>
            <w:r>
              <w:t xml:space="preserve">Essential hypertension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0.008977561</w:t>
            </w:r>
          </w:p>
        </w:tc>
      </w:tr>
    </w:tbl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ahajournals.org/doi/10.1161/circheartfailure.117.0046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ahajournals.org/doi/10.1161/circheartfailure.117.0046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Outcomes Following LVAD Implantation in Patients with Cancer: A Nationwide Analysis of Readmissions, Mortality, and Resource Utilization</dc:title>
  <dc:creator>Eliza Aisha</dc:creator>
  <cp:keywords/>
  <dcterms:created xsi:type="dcterms:W3CDTF">2026-02-25T05:21:16Z</dcterms:created>
  <dcterms:modified xsi:type="dcterms:W3CDTF">2026-02-25T05:21:16Z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An Analysis of the Nationwide Readmissions Database, 2016-2017</vt:lpwstr>
  </property>
  <property fmtid="{D5CDD505-2E9C-101B-9397-08002B2CF9AE}" pid="12" name="toc-title">
    <vt:lpwstr>Table of contents</vt:lpwstr>
  </property>
</Properties>
</file>