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 vs Post COVID-19 characteristics of 30-day readmissions in heart failure patients</w:t>
      </w:r>
    </w:p>
    <w:p>
      <w:pPr>
        <w:pStyle w:val="Subtitle"/>
      </w:pPr>
      <w:r>
        <w:t xml:space="preserve">A National Readmissions Database Analysis</w:t>
      </w:r>
    </w:p>
    <w:p>
      <w:pPr>
        <w:pStyle w:val="Author"/>
      </w:pPr>
      <w:r>
        <w:t xml:space="preserve">Eliza Aisha</w:t>
      </w:r>
    </w:p>
    <w:bookmarkStart w:id="21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Reference Studies:</w:t>
      </w:r>
    </w:p>
    <w:p>
      <w:pPr>
        <w:pStyle w:val="Compact"/>
        <w:numPr>
          <w:ilvl w:val="1"/>
          <w:numId w:val="1002"/>
        </w:numPr>
      </w:pPr>
      <w:hyperlink r:id="rId20">
        <w:r>
          <w:rPr>
            <w:rStyle w:val="Hyperlink"/>
          </w:rPr>
          <w:t xml:space="preserve">Khanal et al., 2026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Study Objective:</w:t>
      </w:r>
    </w:p>
    <w:p>
      <w:pPr>
        <w:numPr>
          <w:ilvl w:val="0"/>
          <w:numId w:val="1000"/>
        </w:numPr>
      </w:pPr>
      <w:r>
        <w:t xml:space="preserve">To identify patient- and hospital-level predictors of 30-day all-cause hospital readmission among adults hospitalized for heart failure in the pre- and post- Covid-19 eras, using a nationally representative dataset. This study also evaluates the clinical and economic burden of readmission in this high-risk population, including its associations with in-hospital mortality, length of stay (LOS), and hospital charges.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Source:</w:t>
      </w:r>
    </w:p>
    <w:p>
      <w:pPr>
        <w:numPr>
          <w:ilvl w:val="0"/>
          <w:numId w:val="1000"/>
        </w:numPr>
      </w:pPr>
      <w:r>
        <w:t xml:space="preserve">A retrospective cohort study using the Nationwide Readmissions Database (NRD), developed by the Healthcare Cost and Utilization Project (HCUP). The NRD enables tracking of individual patients across hospitalizations within a given year via synthetic identifiers, capturing discharges from U.S. community hospitals and supporting survey-weighted national estimates through complex sampling design.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Cohort Definition:</w:t>
      </w:r>
    </w:p>
    <w:p>
      <w:pPr>
        <w:numPr>
          <w:ilvl w:val="0"/>
          <w:numId w:val="1000"/>
        </w:numPr>
      </w:pPr>
      <w:r>
        <w:t xml:space="preserve">Index hospitalizations were included if they met all of the following criteria:</w:t>
      </w:r>
    </w:p>
    <w:p>
      <w:pPr>
        <w:numPr>
          <w:ilvl w:val="1"/>
          <w:numId w:val="1003"/>
        </w:numPr>
      </w:pPr>
      <w:r>
        <w:t xml:space="preserve">Adults aged ≥18 years</w:t>
      </w:r>
    </w:p>
    <w:p>
      <w:pPr>
        <w:numPr>
          <w:ilvl w:val="1"/>
          <w:numId w:val="1003"/>
        </w:numPr>
      </w:pPr>
      <w:r>
        <w:t xml:space="preserve">Principal diagnosis of heart failure, identified using ICD-10-CM code: I50.x</w:t>
      </w:r>
    </w:p>
    <w:p>
      <w:pPr>
        <w:numPr>
          <w:ilvl w:val="1"/>
          <w:numId w:val="1003"/>
        </w:numPr>
      </w:pPr>
      <w:r>
        <w:t xml:space="preserve">Index discharge by the end of November to allow for a complete 30-day follow-up period</w:t>
      </w:r>
    </w:p>
    <w:p>
      <w:pPr>
        <w:numPr>
          <w:ilvl w:val="1"/>
          <w:numId w:val="1003"/>
        </w:numPr>
      </w:pPr>
      <w:r>
        <w:t xml:space="preserve">Complete data on NRD_DAYSTOEVENT, required to compute discharge dates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Outcomes of Interest:</w:t>
      </w:r>
    </w:p>
    <w:p>
      <w:pPr>
        <w:numPr>
          <w:ilvl w:val="1"/>
          <w:numId w:val="1004"/>
        </w:numPr>
      </w:pPr>
      <w:r>
        <w:t xml:space="preserve">Primary Outcomes:</w:t>
      </w:r>
    </w:p>
    <w:p>
      <w:pPr>
        <w:pStyle w:val="Compact"/>
        <w:numPr>
          <w:ilvl w:val="2"/>
          <w:numId w:val="1005"/>
        </w:numPr>
      </w:pPr>
      <w:r>
        <w:t xml:space="preserve">Predictors of 30-day readmission</w:t>
      </w:r>
    </w:p>
    <w:p>
      <w:pPr>
        <w:numPr>
          <w:ilvl w:val="1"/>
          <w:numId w:val="1004"/>
        </w:numPr>
      </w:pPr>
      <w:r>
        <w:t xml:space="preserve">Secondary Outcomes:</w:t>
      </w:r>
    </w:p>
    <w:p>
      <w:pPr>
        <w:numPr>
          <w:ilvl w:val="2"/>
          <w:numId w:val="1006"/>
        </w:numPr>
      </w:pPr>
      <w:r>
        <w:t xml:space="preserve">In-hospital mortality (binary)</w:t>
      </w:r>
    </w:p>
    <w:p>
      <w:pPr>
        <w:numPr>
          <w:ilvl w:val="2"/>
          <w:numId w:val="1006"/>
        </w:numPr>
      </w:pPr>
      <w:r>
        <w:t xml:space="preserve">Length of stay (LOS, in days)</w:t>
      </w:r>
    </w:p>
    <w:p>
      <w:pPr>
        <w:numPr>
          <w:ilvl w:val="2"/>
          <w:numId w:val="1006"/>
        </w:numPr>
      </w:pPr>
      <w:r>
        <w:t xml:space="preserve">Total hospitalization charges (inflation-adjusted to 2022 USD)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 Definitions:</w:t>
      </w:r>
    </w:p>
    <w:p>
      <w:pPr>
        <w:numPr>
          <w:ilvl w:val="1"/>
          <w:numId w:val="1007"/>
        </w:numPr>
      </w:pPr>
      <w:r>
        <w:t xml:space="preserve">Readmission:</w:t>
      </w:r>
    </w:p>
    <w:p>
      <w:pPr>
        <w:numPr>
          <w:ilvl w:val="2"/>
          <w:numId w:val="1008"/>
        </w:numPr>
      </w:pPr>
      <w:r>
        <w:t xml:space="preserve">Defined using NRD’s linkage variables. Readmissions were identified only among patients with qualifying index events.</w:t>
      </w:r>
    </w:p>
    <w:p>
      <w:pPr>
        <w:numPr>
          <w:ilvl w:val="2"/>
          <w:numId w:val="1008"/>
        </w:numPr>
      </w:pPr>
      <w:r>
        <w:t xml:space="preserve">Trauma-related hospitalizations were excluded only from the readmission pool to avoid injury-related returns unrelated to aortic dissection care.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Covariates:</w:t>
      </w:r>
    </w:p>
    <w:p>
      <w:pPr>
        <w:numPr>
          <w:ilvl w:val="1"/>
          <w:numId w:val="1009"/>
        </w:numPr>
      </w:pPr>
      <w:r>
        <w:t xml:space="preserve">We adjusted for the following covariates:</w:t>
      </w:r>
    </w:p>
    <w:p>
      <w:pPr>
        <w:numPr>
          <w:ilvl w:val="2"/>
          <w:numId w:val="1010"/>
        </w:numPr>
      </w:pPr>
      <w:r>
        <w:t xml:space="preserve">Age</w:t>
      </w:r>
    </w:p>
    <w:p>
      <w:pPr>
        <w:numPr>
          <w:ilvl w:val="2"/>
          <w:numId w:val="1010"/>
        </w:numPr>
      </w:pPr>
      <w:r>
        <w:t xml:space="preserve">Sex</w:t>
      </w:r>
    </w:p>
    <w:p>
      <w:pPr>
        <w:numPr>
          <w:ilvl w:val="2"/>
          <w:numId w:val="1010"/>
        </w:numPr>
      </w:pPr>
      <w:r>
        <w:t xml:space="preserve">Primary expected payer</w:t>
      </w:r>
    </w:p>
    <w:p>
      <w:pPr>
        <w:numPr>
          <w:ilvl w:val="2"/>
          <w:numId w:val="1010"/>
        </w:numPr>
      </w:pPr>
      <w:r>
        <w:t xml:space="preserve">ZIP-based median income quartile</w:t>
      </w:r>
    </w:p>
    <w:p>
      <w:pPr>
        <w:numPr>
          <w:ilvl w:val="2"/>
          <w:numId w:val="1010"/>
        </w:numPr>
      </w:pPr>
      <w:r>
        <w:t xml:space="preserve">Charlson comorbidity index</w:t>
      </w:r>
    </w:p>
    <w:p>
      <w:pPr>
        <w:numPr>
          <w:ilvl w:val="2"/>
          <w:numId w:val="1010"/>
        </w:numPr>
      </w:pPr>
      <w:r>
        <w:t xml:space="preserve">Hospital bed size (Small, Medium, Large)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Methods:</w:t>
      </w:r>
    </w:p>
    <w:p>
      <w:pPr>
        <w:numPr>
          <w:ilvl w:val="1"/>
          <w:numId w:val="1011"/>
        </w:numPr>
      </w:pPr>
      <w:r>
        <w:t xml:space="preserve">Survey Design and Weighting:</w:t>
      </w:r>
    </w:p>
    <w:p>
      <w:pPr>
        <w:pStyle w:val="Compact"/>
        <w:numPr>
          <w:ilvl w:val="2"/>
          <w:numId w:val="1012"/>
        </w:numPr>
      </w:pPr>
      <w:r>
        <w:t xml:space="preserve">All analyses incorporated NRD’s complex sampling design via the survey and srvyr packages.</w:t>
      </w:r>
    </w:p>
    <w:p>
      <w:pPr>
        <w:numPr>
          <w:ilvl w:val="1"/>
          <w:numId w:val="1011"/>
        </w:numPr>
      </w:pPr>
      <w:r>
        <w:t xml:space="preserve">Descriptive Statistics:</w:t>
      </w:r>
    </w:p>
    <w:p>
      <w:pPr>
        <w:numPr>
          <w:ilvl w:val="2"/>
          <w:numId w:val="1013"/>
        </w:numPr>
      </w:pPr>
      <w:r>
        <w:t xml:space="preserve">Weighted baseline characteristics of index hospitalizations were summarized and stratified by 30-day readmission status to compare patients in the pre and post covid era.</w:t>
      </w:r>
    </w:p>
    <w:p>
      <w:pPr>
        <w:numPr>
          <w:ilvl w:val="2"/>
          <w:numId w:val="1013"/>
        </w:numPr>
      </w:pPr>
      <w:r>
        <w:t xml:space="preserve">Stratification was performed using a derived binary variable, which categorized patients as:</w:t>
      </w:r>
    </w:p>
    <w:p>
      <w:pPr>
        <w:numPr>
          <w:ilvl w:val="3"/>
          <w:numId w:val="1014"/>
        </w:numPr>
      </w:pPr>
      <w:r>
        <w:t xml:space="preserve">Pre-Covid (Year: 2019)</w:t>
      </w:r>
    </w:p>
    <w:p>
      <w:pPr>
        <w:numPr>
          <w:ilvl w:val="3"/>
          <w:numId w:val="1014"/>
        </w:numPr>
      </w:pPr>
      <w:r>
        <w:t xml:space="preserve">Post-Covid (Year: 2022)</w:t>
      </w:r>
    </w:p>
    <w:p>
      <w:pPr>
        <w:numPr>
          <w:ilvl w:val="2"/>
          <w:numId w:val="1013"/>
        </w:numPr>
      </w:pPr>
      <w:r>
        <w:t xml:space="preserve">P-values from statistical tests (Rao–Scott adjusted chi-square for categorical variables; Kruskal–Wallis test for continuous variables).</w:t>
      </w:r>
    </w:p>
    <w:p>
      <w:pPr>
        <w:numPr>
          <w:ilvl w:val="1"/>
          <w:numId w:val="1011"/>
        </w:numPr>
      </w:pPr>
      <w:r>
        <w:t xml:space="preserve">Multivariable Regression:</w:t>
      </w:r>
    </w:p>
    <w:p>
      <w:pPr>
        <w:numPr>
          <w:ilvl w:val="2"/>
          <w:numId w:val="1015"/>
        </w:numPr>
      </w:pPr>
      <w:r>
        <w:t xml:space="preserve">A survey-weighted logistic regression modeled predictors of 30-day readmission.</w:t>
      </w:r>
    </w:p>
    <w:p>
      <w:pPr>
        <w:numPr>
          <w:ilvl w:val="2"/>
          <w:numId w:val="1015"/>
        </w:numPr>
      </w:pPr>
      <w:r>
        <w:t xml:space="preserve">The model included demographic, clinical, hospital-level, and index-stay factors.</w:t>
      </w:r>
    </w:p>
    <w:p>
      <w:pPr>
        <w:numPr>
          <w:ilvl w:val="2"/>
          <w:numId w:val="1015"/>
        </w:numPr>
      </w:pPr>
      <w:r>
        <w:t xml:space="preserve">Results were exponentiated to yield odds ratios (ORs) with 95% confidence intervals.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analyses were conducted in R Statistical Language (Version 4.5.0; R Foundation for Statistical Computing, Vienna, Austria).</w:t>
      </w:r>
    </w:p>
    <w:bookmarkEnd w:id="21"/>
    <w:bookmarkStart w:id="22" w:name="descriptive-statistics"/>
    <w:p>
      <w:pPr>
        <w:pStyle w:val="Heading2"/>
      </w:pPr>
      <w:r>
        <w:t xml:space="preserve">Descriptive Statistics:</w:t>
      </w:r>
    </w:p>
    <w:bookmarkEnd w:id="22"/>
    <w:bookmarkStart w:id="23" w:name="baseline-characteristics"/>
    <w:p>
      <w:pPr>
        <w:pStyle w:val="Heading2"/>
      </w:pPr>
      <w:r>
        <w:t xml:space="preserve">Baseline Characteristics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187,425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Pre-Covid Era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101,087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Post-Covid Era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86,338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18–49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30,515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14,774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15,741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50–64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47,551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24,358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23,192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65–79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56,679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31,013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25,666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80+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52,680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30,942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21,739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103,734 (55%)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55,007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48,728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83,690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46,080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37,610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32,251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14,852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17,399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115,163 (62%)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65,425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49,738 (58%)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11,796 (6.3%)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5,973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5,822 (6.8%)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27,945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14,696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13,248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59,643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32,019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27,625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51,885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28,381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23,503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42,913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23,223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19,690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30,781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16,113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14,667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Admission 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10,372 (5.5%)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6,134 (6.1%)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4,238 (4.9%)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Non-elective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176,818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94,884 (94%)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81,934 (95%)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44,732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25,049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19,683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97,822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51,466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46,356 (54%)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44,871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24,572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20,300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One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36,852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19,414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17,438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Two or more comorbidities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150,572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81,673 (81%)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68,899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Valvular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60,461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31,618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28,844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Peripheral vascular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31,515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17,548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13,966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12,885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6,967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5,918 (6.9%)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59,108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31,918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27,191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pulmonary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20,406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11,740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8,667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Renal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16,057 (8.6%)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7,555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8,501 (9.8%)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Liver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726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427 (0.4%)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299 (0.3%)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Metastatic cancer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6,660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3,612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3,048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Solid tumor without metastasis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6,993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3,740 (3.7%)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3,252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29,183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16,632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12,552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</w:t>
            </w:r>
          </w:p>
        </w:tc>
      </w:tr>
    </w:tbl>
    <w:bookmarkEnd w:id="23"/>
    <w:bookmarkStart w:id="24" w:name="outcomes-table"/>
    <w:p>
      <w:pPr>
        <w:pStyle w:val="Heading2"/>
      </w:pPr>
      <w:r>
        <w:t xml:space="preserve">Outcomes Table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187,425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Pre-Covid Era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101,087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Post-Covid Era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86,338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30-Day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Without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158,025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84,718 (84%)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73,307 (85%)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With 30-day readmission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29,400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16,369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13,031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Mortality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7,419 (4.0%)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3,915 (3.9%)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3,505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(2.0, 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(2.0, 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 (2.0, 7.0)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Charges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34,299 (18,946, 65,059)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30,764 (17,055, 58,208)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38,725 (21,590, 73,360)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Discharged to Non-Home Setting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43,956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24,713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19,243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Median (Q1, Q3)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</w:t>
            </w:r>
          </w:p>
        </w:tc>
      </w:tr>
    </w:tbl>
    <w:bookmarkEnd w:id="24"/>
    <w:bookmarkStart w:id="30" w:name="multivariable-regression"/>
    <w:p>
      <w:pPr>
        <w:pStyle w:val="Heading2"/>
      </w:pPr>
      <w:r>
        <w:t xml:space="preserve">Multivariable Regression</w:t>
      </w:r>
    </w:p>
    <w:bookmarkStart w:id="25" w:name="day-readmission"/>
    <w:p>
      <w:pPr>
        <w:pStyle w:val="Heading3"/>
      </w:pPr>
      <w:r>
        <w:t xml:space="preserve">30-Day Readmission: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 Admissions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Pre-Covid Era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Post-Covid Era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0.54, 0.62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0.82, 0.93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Charlson's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5"/>
    <w:bookmarkStart w:id="26" w:name="in-hospital-mortality"/>
    <w:p>
      <w:pPr>
        <w:pStyle w:val="Heading3"/>
      </w:pPr>
      <w:r>
        <w:t xml:space="preserve">In-hospital Mortality: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 Admissions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Pre-Covid Era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Post-Covid Era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1.35, 1.92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Charlson's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6"/>
    <w:bookmarkStart w:id="27" w:name="non-home-discharge"/>
    <w:p>
      <w:pPr>
        <w:pStyle w:val="Heading3"/>
      </w:pPr>
      <w:r>
        <w:t xml:space="preserve">Non-home Discharge: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 Admissions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Pre-Covid Era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Post-Covid Era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1.05, 1.12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0.58, 0.67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0.90, 0.98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Charlson's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27"/>
    <w:bookmarkStart w:id="28" w:name="length-of-stay"/>
    <w:p>
      <w:pPr>
        <w:pStyle w:val="Heading3"/>
      </w:pPr>
      <w:r>
        <w:t xml:space="preserve">Length of Stay: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 Admissions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Pre-Covid Era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Post-Covid Era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0.21, 0.88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-0.05, -0.04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-0.07, 0.18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0.21, 0.83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-0.65, -0.07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0.51, 1.3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0.07, 0.38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0.13, 0.51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0.38, 0.84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1.5, 2.1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0.02, 0.41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Charlson's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0.39, 0.47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28"/>
    <w:bookmarkStart w:id="29" w:name="total-hospital-charges"/>
    <w:p>
      <w:pPr>
        <w:pStyle w:val="Heading3"/>
      </w:pPr>
      <w:r>
        <w:t xml:space="preserve">Total Hospital Charges: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 Admissions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Pre-Covid Era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Post-Covid Era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-5,893, 16,826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 (years)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-1,557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-1,813, -1,300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-8,198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-11,732, -4,665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Primary Expected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14,931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7,630, 22,233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-9,373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-15,224, -3,521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36,750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23,339, 50,162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0-25th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26th to 50th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8,708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5,472, 11,944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51st to 75th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17,589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12,334, 22,844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76th to 100th percentile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33,168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24,968, 41,368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43,626, 62,496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12,197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8,298, 16,096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Charlson's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5,817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4,831, 6,804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pubmed.ncbi.nlm.nih.gov/41535402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pubmed.ncbi.nlm.nih.gov/41535402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 vs Post COVID-19 characteristics of 30-day readmissions in heart failure patients</dc:title>
  <dc:creator>Eliza Aisha</dc:creator>
  <cp:keywords/>
  <dcterms:created xsi:type="dcterms:W3CDTF">2026-05-16T09:52:03Z</dcterms:created>
  <dcterms:modified xsi:type="dcterms:W3CDTF">2026-05-16T09:52:03Z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A National Readmissions Database Analysis</vt:lpwstr>
  </property>
  <property fmtid="{D5CDD505-2E9C-101B-9397-08002B2CF9AE}" pid="12" name="toc-title">
    <vt:lpwstr>Table of contents</vt:lpwstr>
  </property>
</Properties>
</file>