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Where Adults with Valvular Heart Disease Die</w:t>
      </w:r>
    </w:p>
    <w:p>
      <w:pPr>
        <w:pStyle w:val="Subtitle"/>
      </w:pPr>
      <w:r>
        <w:t xml:space="preserve">Insights from the CDC-WONDER Database</w:t>
      </w:r>
    </w:p>
    <w:p>
      <w:pPr>
        <w:pStyle w:val="Author"/>
      </w:pPr>
      <w:r>
        <w:t xml:space="preserve">Eliza Aisha</w:t>
      </w:r>
    </w:p>
    <w:bookmarkStart w:id="20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</w:t>
      </w:r>
      <w:r>
        <w:t xml:space="preserve">: CDC WONDER Multiple Cause of Death database (1999 to 2024), using publicly available death certificate records. This dataset includes individual-level demographic characteristics, cause of death codes, and place of death, enabling detailed examination of mortality trends and patterns.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Outcome of Interest:</w:t>
      </w:r>
      <w:r>
        <w:t xml:space="preserve"> </w:t>
      </w:r>
      <w:r>
        <w:t xml:space="preserve">Place of death, categorized into four mutually exclusive settings:</w:t>
      </w:r>
    </w:p>
    <w:p>
      <w:pPr>
        <w:numPr>
          <w:ilvl w:val="1"/>
          <w:numId w:val="1002"/>
        </w:numPr>
      </w:pPr>
      <w:r>
        <w:t xml:space="preserve">Hospice or Nursing Facility (reference category)</w:t>
      </w:r>
    </w:p>
    <w:p>
      <w:pPr>
        <w:numPr>
          <w:ilvl w:val="1"/>
          <w:numId w:val="1002"/>
        </w:numPr>
      </w:pPr>
      <w:r>
        <w:t xml:space="preserve">Decedent’s home</w:t>
      </w:r>
    </w:p>
    <w:p>
      <w:pPr>
        <w:numPr>
          <w:ilvl w:val="1"/>
          <w:numId w:val="1002"/>
        </w:numPr>
      </w:pPr>
      <w:r>
        <w:t xml:space="preserve">Medical Facility - Inpatient</w:t>
      </w:r>
    </w:p>
    <w:p>
      <w:pPr>
        <w:numPr>
          <w:ilvl w:val="1"/>
          <w:numId w:val="1002"/>
        </w:numPr>
      </w:pPr>
      <w:r>
        <w:t xml:space="preserve">Medical Facility - Outpatient or ER</w:t>
      </w:r>
    </w:p>
    <w:p>
      <w:pPr>
        <w:pStyle w:val="Compact"/>
        <w:numPr>
          <w:ilvl w:val="1"/>
          <w:numId w:val="1003"/>
        </w:numPr>
      </w:pPr>
      <w:r>
        <w:t xml:space="preserve">The following categories were excluded due to small counts or ambiguous classification:</w:t>
      </w:r>
      <w:r>
        <w:t xml:space="preserve"> </w:t>
      </w:r>
      <w:r>
        <w:t xml:space="preserve">“Dead on Arrival,”</w:t>
      </w:r>
      <w:r>
        <w:t xml:space="preserve"> </w:t>
      </w:r>
      <w:r>
        <w:t xml:space="preserve">“Status unknown,”</w:t>
      </w:r>
      <w:r>
        <w:t xml:space="preserve"> </w:t>
      </w:r>
      <w:r>
        <w:t xml:space="preserve">“Other,”</w:t>
      </w:r>
      <w:r>
        <w:t xml:space="preserve"> </w:t>
      </w:r>
      <w:r>
        <w:t xml:space="preserve">and</w:t>
      </w:r>
      <w:r>
        <w:t xml:space="preserve"> </w:t>
      </w:r>
      <w:r>
        <w:t xml:space="preserve">“Place of death unknown.”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Analysis</w:t>
      </w:r>
      <w:r>
        <w:t xml:space="preserve">: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Descriptive Analysis:</w:t>
      </w:r>
      <w:r>
        <w:t xml:space="preserve"> </w:t>
      </w:r>
      <w:r>
        <w:t xml:space="preserve">Summarized demographic characteristics across place of death using frequency distributions and compared using Pearson’s chi-square tests.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Multinomial Logistic Regression:</w:t>
      </w:r>
    </w:p>
    <w:p>
      <w:pPr>
        <w:numPr>
          <w:ilvl w:val="2"/>
          <w:numId w:val="1005"/>
        </w:numPr>
      </w:pPr>
      <w:r>
        <w:rPr>
          <w:b/>
          <w:bCs/>
        </w:rPr>
        <w:t xml:space="preserve">Dependent Variable</w:t>
      </w:r>
      <w:r>
        <w:t xml:space="preserve">: Place of death (4 categories; reference = Hospice or Nursing Facility).</w:t>
      </w:r>
    </w:p>
    <w:p>
      <w:pPr>
        <w:numPr>
          <w:ilvl w:val="2"/>
          <w:numId w:val="1005"/>
        </w:numPr>
      </w:pPr>
      <w:r>
        <w:rPr>
          <w:b/>
          <w:bCs/>
        </w:rPr>
        <w:t xml:space="preserve">Independent Variables</w:t>
      </w:r>
      <w:r>
        <w:t xml:space="preserve">: Age group, sex (Female = reference), race (White = reference), Hispanic origin (Non-Hispanic = reference), and urbanization level (Large Metro = reference).</w:t>
      </w:r>
    </w:p>
    <w:p>
      <w:pPr>
        <w:numPr>
          <w:ilvl w:val="2"/>
          <w:numId w:val="1005"/>
        </w:numPr>
      </w:pPr>
      <w:r>
        <w:rPr>
          <w:b/>
          <w:bCs/>
        </w:rPr>
        <w:t xml:space="preserve">Model Reporting:</w:t>
      </w:r>
      <w:r>
        <w:t xml:space="preserve"> </w:t>
      </w:r>
      <w:r>
        <w:t xml:space="preserve">Relative odds (exponentiated coefficients) were reported with 95% confidence intervals. Statistical significance was assessed at a threshold of P&lt;0.05.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Reporting:</w:t>
      </w:r>
      <w:r>
        <w:t xml:space="preserve"> </w:t>
      </w:r>
      <w:r>
        <w:t xml:space="preserve">Results expressed as odds ratios (ORs) with 95% confidence intervals (CIs). Statistical significance set at P&lt;0.05.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statistical analyses were performed using the R Statistical Language (Version 4.5.0; R Foundation for Statistical Computing, Vienna, Austria). Joinpoint Regression was performed using the NCI Joinpoint Regression Program (Version 5.4.0).</w:t>
      </w:r>
    </w:p>
    <w:bookmarkEnd w:id="20"/>
    <w:bookmarkStart w:id="21" w:name="baseline-table"/>
    <w:p>
      <w:pPr>
        <w:pStyle w:val="Heading2"/>
      </w:pPr>
      <w:r>
        <w:t xml:space="preserve">Baseline table: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1,015,421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Hospice or Nursing Facility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224970 (22%)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Decedent's home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271671 (27%)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Medical Facility - Inpatient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461609 (45%)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Medical Facility - Outpatient or ER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57171 (5.6%)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15-34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4,988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(&lt;0.1)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655 (0.2)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3,247 (0.7)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1,075 (1.9)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35-54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33,461 (3.3)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731 (0.3)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6,302 (2.3)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21,039 (4.6)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5,389 (9.4)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55-74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191,174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14,150 (6.3)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41,637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119,038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16,349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75+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785,798 (77)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210,078 (93)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223,077 (82)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318,285 (69)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34,358 (60)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560,424 (55)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146,769 (65)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146,473 (54)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242,024 (52)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25,158 (44)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454,997 (45)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78,201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125,198 (46)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219,585 (48)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32,013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935,084 (92)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216,563 (96)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253,052 (93)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414,686 (90)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50,783 (89)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American Indian/Alaska Native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2,408 (0.2)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 (&lt;0.1)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568 (0.2)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1,669 (0.4)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(&lt;0.1)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4,065 (0.4)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312 (0.1)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1,367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2,232 (0.5)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 (0.3)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14,616 (1.4)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1,412 (0.6)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3,722 (1.4)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8,441 (1.8)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1,041 (1.8)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59,248 (5.8)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6,533 (2.9)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12,962 (4.8)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34,581 (7.5)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5,172 (9.0)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Hispanic origin,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972,213 (96)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220,988 (98)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260,842 (96)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436,377 (95)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54,006 (94)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43,208 (4.3)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3,982 (1.8)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10,829 (4.0)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25,232 (5.5)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3,165 (5.5)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Urbanization, 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 Metro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496,011 (49)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96,490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137,078 (50)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232,164 (50)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30,279 (53)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 Metro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355,547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85,773 (38)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98,228 (36)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152,953 (33)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18,593 (33)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 Metro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163,863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42,707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36,365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76,492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8,299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Pearson's Chi-squared test</w:t>
            </w:r>
          </w:p>
        </w:tc>
      </w:tr>
    </w:tbl>
    <w:bookmarkEnd w:id="21"/>
    <w:bookmarkStart w:id="22" w:name="multinomial-logistic-regression"/>
    <w:p>
      <w:pPr>
        <w:pStyle w:val="Heading2"/>
      </w:pPr>
      <w:r>
        <w:t xml:space="preserve">Multinomial logistic regression:</w:t>
      </w:r>
    </w:p>
    <w:p>
      <w:pPr>
        <w:pStyle w:val="SourceCode"/>
      </w:pPr>
      <w:r>
        <w:rPr>
          <w:rStyle w:val="VerbatimChar"/>
        </w:rPr>
        <w:t xml:space="preserve"># weights:  52 (36 variable)</w:t>
      </w:r>
      <w:r>
        <w:br/>
      </w:r>
      <w:r>
        <w:rPr>
          <w:rStyle w:val="VerbatimChar"/>
        </w:rPr>
        <w:t xml:space="preserve">initial  value 1407672.406477 </w:t>
      </w:r>
      <w:r>
        <w:br/>
      </w:r>
      <w:r>
        <w:rPr>
          <w:rStyle w:val="VerbatimChar"/>
        </w:rPr>
        <w:t xml:space="preserve">iter  10 value 1185816.671410</w:t>
      </w:r>
      <w:r>
        <w:br/>
      </w:r>
      <w:r>
        <w:rPr>
          <w:rStyle w:val="VerbatimChar"/>
        </w:rPr>
        <w:t xml:space="preserve">iter  20 value 1183406.935523</w:t>
      </w:r>
      <w:r>
        <w:br/>
      </w:r>
      <w:r>
        <w:rPr>
          <w:rStyle w:val="VerbatimChar"/>
        </w:rPr>
        <w:t xml:space="preserve">iter  30 value 1182277.549891</w:t>
      </w:r>
      <w:r>
        <w:br/>
      </w:r>
      <w:r>
        <w:rPr>
          <w:rStyle w:val="VerbatimChar"/>
        </w:rPr>
        <w:t xml:space="preserve">iter  40 value 1175294.878616</w:t>
      </w:r>
      <w:r>
        <w:br/>
      </w:r>
      <w:r>
        <w:rPr>
          <w:rStyle w:val="VerbatimChar"/>
        </w:rPr>
        <w:t xml:space="preserve">final  value 1175286.020512 </w:t>
      </w:r>
      <w:r>
        <w:br/>
      </w:r>
      <w:r>
        <w:rPr>
          <w:rStyle w:val="VerbatimChar"/>
        </w:rPr>
        <w:t xml:space="preserve">converged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b w:val="true"/>
                <w:rFonts w:ascii="Calibri" w:hAnsi="Calibri"/>
                <w:sz w:val="20"/>
              </w:rPr>
              <w:t xml:space="preserve">(95% CI)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Decedent's home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15-34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35-54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 (0.08 to 0.25)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55-74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 (0.03 to 0.09)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75+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 (0.01 to 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1.53 (1.52 to 1.55)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American Indian/Alaska Native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3.43 (2.86 to 4.11)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3.50 (3.09 to 3.96)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2.10 (1.97 to 2.23)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 (1.38 to 1.47)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Hispanic origin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2.04 (1.97 to 2.12)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 Metro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 Metro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 (0.81 to 0.83)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 Metro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 (0.61 to 0.63)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Medical Facility - Inpatient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15-34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35-54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 (0.05 to 0.17)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55-74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 (0.02 to 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75+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(0.00 to 0.01)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1.54 (1.53 to 1.56)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American Indian/Alaska Native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5.11 (4.31 to 6.05)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3.65 (3.24 to 4.12)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2.94 (2.77 to 3.11)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2.01 (1.96 to 2.07)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Hispanic origin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2.75 (2.66 to 2.85)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 Metro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 Metro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 (0.75 to 0.77)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 Metro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 (0.78 to 0.81)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Medical Facility - Outpatient or 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15-34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35-54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 (0.04 to 0.13)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55-74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 (0.01 to 0.02)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75+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 (0.00 to 0.00)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2.07 (2.03 to 2.11)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American Indian/Alaska Native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 (0.33 to 0.82)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2.04 (1.68 to 2.48)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2.84 (2.62 to 3.08)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2.10 (2.02 to 2.19)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Hispanic origin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2.52 (2.40 to 2.65)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Urbanization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 Metro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 Metro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 (0.69 to 0.72)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 Metro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 (0.65 to 0.69)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Where Adults with Valvular Heart Disease Die</dc:title>
  <dc:creator>Eliza Aisha</dc:creator>
  <cp:keywords/>
  <dcterms:created xsi:type="dcterms:W3CDTF">2026-05-27T20:56:17Z</dcterms:created>
  <dcterms:modified xsi:type="dcterms:W3CDTF">2026-05-27T20:56:17Z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Insights from the CDC-WONDER Database</vt:lpwstr>
  </property>
  <property fmtid="{D5CDD505-2E9C-101B-9397-08002B2CF9AE}" pid="12" name="toc-title">
    <vt:lpwstr>Table of contents</vt:lpwstr>
  </property>
</Properties>
</file>