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690" w:rsidRDefault="002E3690">
      <w:pPr>
        <w:pStyle w:val="Heading"/>
        <w:rPr>
          <w:szCs w:val="28"/>
        </w:rPr>
      </w:pPr>
      <w:bookmarkStart w:id="0" w:name="_GoBack"/>
      <w:bookmarkEnd w:id="0"/>
      <w:r>
        <w:rPr>
          <w:caps w:val="0"/>
          <w:szCs w:val="28"/>
        </w:rPr>
        <w:t>RomanNumerals</w:t>
      </w:r>
    </w:p>
    <w:p w:rsidR="002E3690" w:rsidRDefault="002E3690">
      <w:pPr>
        <w:rPr>
          <w:sz w:val="22"/>
        </w:rPr>
      </w:pPr>
    </w:p>
    <w:p w:rsidR="002E3690" w:rsidRPr="0039616D" w:rsidRDefault="002E3690">
      <w:pPr>
        <w:rPr>
          <w:rFonts w:ascii="Arial" w:hAnsi="Arial" w:cs="Arial"/>
          <w:b/>
          <w:sz w:val="22"/>
        </w:rPr>
      </w:pPr>
      <w:r w:rsidRPr="0039616D">
        <w:rPr>
          <w:rFonts w:ascii="Arial" w:hAnsi="Arial" w:cs="Arial"/>
          <w:b/>
          <w:sz w:val="22"/>
        </w:rPr>
        <w:t>Assignment:</w:t>
      </w:r>
    </w:p>
    <w:p w:rsidR="002E3690" w:rsidRDefault="002E3690">
      <w:pPr>
        <w:rPr>
          <w:sz w:val="22"/>
        </w:rPr>
      </w:pPr>
    </w:p>
    <w:p w:rsidR="002E3690" w:rsidRDefault="002E3690">
      <w:pPr>
        <w:tabs>
          <w:tab w:val="left" w:pos="360"/>
        </w:tabs>
        <w:ind w:left="360" w:hanging="360"/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  <w:t xml:space="preserve">You will create a class with two </w:t>
      </w:r>
      <w:r>
        <w:rPr>
          <w:rFonts w:ascii="Courier New" w:hAnsi="Courier New" w:cs="Courier New"/>
          <w:sz w:val="22"/>
        </w:rPr>
        <w:t>public</w:t>
      </w:r>
      <w:r>
        <w:rPr>
          <w:sz w:val="22"/>
        </w:rPr>
        <w:t xml:space="preserve"> </w:t>
      </w:r>
      <w:r>
        <w:rPr>
          <w:rFonts w:ascii="Courier New" w:hAnsi="Courier New" w:cs="Courier New"/>
          <w:sz w:val="22"/>
        </w:rPr>
        <w:t>static</w:t>
      </w:r>
      <w:r>
        <w:rPr>
          <w:sz w:val="22"/>
        </w:rPr>
        <w:t xml:space="preserve"> methods.  One will receive an </w:t>
      </w:r>
      <w:r>
        <w:rPr>
          <w:rFonts w:ascii="Courier New" w:hAnsi="Courier New" w:cs="Courier New"/>
          <w:sz w:val="22"/>
        </w:rPr>
        <w:t>int</w:t>
      </w:r>
      <w:r>
        <w:rPr>
          <w:sz w:val="22"/>
        </w:rPr>
        <w:t xml:space="preserve"> number and return a </w:t>
      </w:r>
      <w:r>
        <w:rPr>
          <w:rFonts w:ascii="Courier New" w:hAnsi="Courier New" w:cs="Courier New"/>
          <w:sz w:val="22"/>
        </w:rPr>
        <w:t>String</w:t>
      </w:r>
      <w:r>
        <w:rPr>
          <w:sz w:val="22"/>
        </w:rPr>
        <w:t xml:space="preserve"> with that </w:t>
      </w:r>
      <w:r>
        <w:rPr>
          <w:rFonts w:ascii="Courier New" w:hAnsi="Courier New" w:cs="Courier New"/>
          <w:sz w:val="22"/>
        </w:rPr>
        <w:t>int</w:t>
      </w:r>
      <w:r>
        <w:rPr>
          <w:sz w:val="22"/>
        </w:rPr>
        <w:t xml:space="preserve"> converted into Roman Numerals.  The other method will receive a </w:t>
      </w:r>
      <w:r>
        <w:rPr>
          <w:rFonts w:ascii="Courier New" w:hAnsi="Courier New" w:cs="Courier New"/>
          <w:sz w:val="22"/>
        </w:rPr>
        <w:t>String</w:t>
      </w:r>
      <w:r>
        <w:rPr>
          <w:sz w:val="22"/>
        </w:rPr>
        <w:t xml:space="preserve"> of Roman Numerals and return the </w:t>
      </w:r>
      <w:r>
        <w:rPr>
          <w:rFonts w:ascii="Courier New" w:hAnsi="Courier New" w:cs="Courier New"/>
          <w:sz w:val="22"/>
        </w:rPr>
        <w:t>int</w:t>
      </w:r>
      <w:r>
        <w:rPr>
          <w:sz w:val="22"/>
        </w:rPr>
        <w:t xml:space="preserve"> value of the Roman Numerals.</w:t>
      </w:r>
    </w:p>
    <w:p w:rsidR="002E3690" w:rsidRDefault="002E3690">
      <w:pPr>
        <w:tabs>
          <w:tab w:val="left" w:pos="360"/>
        </w:tabs>
        <w:ind w:left="360" w:hanging="360"/>
        <w:rPr>
          <w:sz w:val="22"/>
        </w:rPr>
      </w:pPr>
    </w:p>
    <w:p w:rsidR="002E3690" w:rsidRDefault="002E3690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2"/>
        </w:rPr>
      </w:pPr>
      <w:r>
        <w:rPr>
          <w:sz w:val="22"/>
        </w:rPr>
        <w:t xml:space="preserve">These two methods are </w:t>
      </w:r>
      <w:r>
        <w:rPr>
          <w:rFonts w:ascii="Courier New" w:hAnsi="Courier New" w:cs="Courier New"/>
          <w:sz w:val="22"/>
        </w:rPr>
        <w:t>static</w:t>
      </w:r>
      <w:r>
        <w:rPr>
          <w:sz w:val="22"/>
        </w:rPr>
        <w:t xml:space="preserve"> because there is no reason to create an object just to run these calculations.</w:t>
      </w:r>
    </w:p>
    <w:p w:rsidR="002E3690" w:rsidRDefault="002E3690">
      <w:pPr>
        <w:tabs>
          <w:tab w:val="left" w:pos="360"/>
        </w:tabs>
        <w:rPr>
          <w:sz w:val="22"/>
        </w:rPr>
      </w:pPr>
    </w:p>
    <w:p w:rsidR="002E3690" w:rsidRDefault="002E3690">
      <w:pPr>
        <w:numPr>
          <w:ilvl w:val="0"/>
          <w:numId w:val="2"/>
        </w:numPr>
        <w:tabs>
          <w:tab w:val="left" w:pos="360"/>
        </w:tabs>
        <w:ind w:hanging="720"/>
        <w:rPr>
          <w:sz w:val="22"/>
        </w:rPr>
      </w:pPr>
      <w:r>
        <w:rPr>
          <w:sz w:val="22"/>
        </w:rPr>
        <w:t>Think of using helper methods to reuse algorithms needed to solve these problems.</w:t>
      </w:r>
    </w:p>
    <w:p w:rsidR="002E3690" w:rsidRDefault="002E3690">
      <w:pPr>
        <w:tabs>
          <w:tab w:val="left" w:pos="360"/>
        </w:tabs>
        <w:rPr>
          <w:sz w:val="22"/>
        </w:rPr>
      </w:pPr>
    </w:p>
    <w:p w:rsidR="002E3690" w:rsidRDefault="002E3690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2"/>
        </w:rPr>
      </w:pPr>
      <w:r>
        <w:rPr>
          <w:sz w:val="22"/>
        </w:rPr>
        <w:t>Assume that your client gives you valid Roman Numerals and the Arabic numbers are positive and less than 4000.</w:t>
      </w:r>
    </w:p>
    <w:p w:rsidR="002E3690" w:rsidRDefault="002E3690">
      <w:pPr>
        <w:tabs>
          <w:tab w:val="left" w:pos="360"/>
        </w:tabs>
        <w:ind w:left="360" w:hanging="360"/>
        <w:rPr>
          <w:sz w:val="22"/>
        </w:rPr>
      </w:pPr>
    </w:p>
    <w:p w:rsidR="002E3690" w:rsidRPr="0039616D" w:rsidRDefault="002E3690">
      <w:pPr>
        <w:tabs>
          <w:tab w:val="left" w:pos="360"/>
        </w:tabs>
        <w:ind w:left="360" w:hanging="360"/>
        <w:rPr>
          <w:rFonts w:ascii="Arial" w:hAnsi="Arial" w:cs="Arial"/>
          <w:sz w:val="22"/>
        </w:rPr>
      </w:pPr>
      <w:r w:rsidRPr="0039616D">
        <w:rPr>
          <w:rFonts w:ascii="Arial" w:hAnsi="Arial" w:cs="Arial"/>
          <w:b/>
          <w:bCs/>
          <w:sz w:val="22"/>
        </w:rPr>
        <w:t>Instructions:</w:t>
      </w:r>
    </w:p>
    <w:p w:rsidR="002E3690" w:rsidRDefault="002E3690">
      <w:pPr>
        <w:tabs>
          <w:tab w:val="left" w:pos="360"/>
        </w:tabs>
        <w:ind w:left="360" w:hanging="360"/>
        <w:rPr>
          <w:sz w:val="22"/>
        </w:rPr>
      </w:pPr>
    </w:p>
    <w:p w:rsidR="002E3690" w:rsidRDefault="002E3690" w:rsidP="0039616D">
      <w:pPr>
        <w:tabs>
          <w:tab w:val="left" w:pos="360"/>
        </w:tabs>
        <w:rPr>
          <w:sz w:val="22"/>
        </w:rPr>
      </w:pPr>
      <w:r>
        <w:rPr>
          <w:sz w:val="22"/>
        </w:rPr>
        <w:t xml:space="preserve">Roman Numerals work differently than our normal </w:t>
      </w:r>
      <w:r w:rsidR="00D0746A">
        <w:rPr>
          <w:sz w:val="22"/>
        </w:rPr>
        <w:t xml:space="preserve">Arabic </w:t>
      </w:r>
      <w:r>
        <w:rPr>
          <w:sz w:val="22"/>
        </w:rPr>
        <w:t xml:space="preserve">number system.  Roman Numerals have symbols, all in capital letters (and sometimes in lower case), which represent Arabic numbers.  Roman Numerals have been used for identifying movie sequels (i.e., </w:t>
      </w:r>
      <w:r w:rsidRPr="002E3690">
        <w:rPr>
          <w:i/>
          <w:sz w:val="22"/>
        </w:rPr>
        <w:t>The Godfather: Part II</w:t>
      </w:r>
      <w:r>
        <w:rPr>
          <w:sz w:val="22"/>
        </w:rPr>
        <w:t>), for publication copyright dates, for numbering monarchs such as Queen Elizabeth II, and for numbering Super Bowls.  See the following table for the Roman Numerals symbols up to 1000.</w:t>
      </w:r>
    </w:p>
    <w:p w:rsidR="002E3690" w:rsidRDefault="002E3690">
      <w:pPr>
        <w:tabs>
          <w:tab w:val="left" w:pos="360"/>
        </w:tabs>
        <w:ind w:left="720"/>
        <w:rPr>
          <w:sz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890"/>
      </w:tblGrid>
      <w:tr w:rsidR="002E3690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2E3690" w:rsidRDefault="002E369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Roman Numeral</w:t>
            </w:r>
          </w:p>
        </w:tc>
        <w:tc>
          <w:tcPr>
            <w:tcW w:w="1890" w:type="dxa"/>
          </w:tcPr>
          <w:p w:rsidR="002E3690" w:rsidRDefault="002E3690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Arabic Number</w:t>
            </w:r>
          </w:p>
        </w:tc>
      </w:tr>
      <w:tr w:rsidR="002E3690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2E3690" w:rsidRDefault="002E3690">
            <w:pPr>
              <w:jc w:val="center"/>
              <w:rPr>
                <w:sz w:val="22"/>
              </w:rPr>
            </w:pPr>
            <w:r>
              <w:rPr>
                <w:sz w:val="22"/>
              </w:rPr>
              <w:t>I or i</w:t>
            </w:r>
          </w:p>
        </w:tc>
        <w:tc>
          <w:tcPr>
            <w:tcW w:w="1890" w:type="dxa"/>
          </w:tcPr>
          <w:p w:rsidR="002E3690" w:rsidRDefault="002E369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2E3690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2E3690" w:rsidRDefault="002E3690">
            <w:pPr>
              <w:jc w:val="center"/>
              <w:rPr>
                <w:sz w:val="22"/>
              </w:rPr>
            </w:pPr>
            <w:r>
              <w:rPr>
                <w:sz w:val="22"/>
              </w:rPr>
              <w:t>V</w:t>
            </w:r>
          </w:p>
        </w:tc>
        <w:tc>
          <w:tcPr>
            <w:tcW w:w="1890" w:type="dxa"/>
          </w:tcPr>
          <w:p w:rsidR="002E3690" w:rsidRDefault="002E3690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2E3690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2E3690" w:rsidRDefault="002E3690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890" w:type="dxa"/>
          </w:tcPr>
          <w:p w:rsidR="002E3690" w:rsidRDefault="002E369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2E3690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2E3690" w:rsidRDefault="002E3690">
            <w:pPr>
              <w:jc w:val="center"/>
              <w:rPr>
                <w:sz w:val="22"/>
              </w:rPr>
            </w:pPr>
            <w:r>
              <w:rPr>
                <w:sz w:val="22"/>
              </w:rPr>
              <w:t>L</w:t>
            </w:r>
          </w:p>
        </w:tc>
        <w:tc>
          <w:tcPr>
            <w:tcW w:w="1890" w:type="dxa"/>
          </w:tcPr>
          <w:p w:rsidR="002E3690" w:rsidRDefault="002E3690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 w:rsidR="002E3690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2E3690" w:rsidRDefault="002E3690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890" w:type="dxa"/>
          </w:tcPr>
          <w:p w:rsidR="002E3690" w:rsidRDefault="002E369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2E3690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2E3690" w:rsidRDefault="002E3690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890" w:type="dxa"/>
          </w:tcPr>
          <w:p w:rsidR="002E3690" w:rsidRDefault="002E3690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</w:tr>
      <w:tr w:rsidR="002E3690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2E3690" w:rsidRDefault="002E3690">
            <w:pPr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1890" w:type="dxa"/>
          </w:tcPr>
          <w:p w:rsidR="002E3690" w:rsidRDefault="002E369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</w:tr>
    </w:tbl>
    <w:p w:rsidR="002E3690" w:rsidRDefault="002E3690">
      <w:pPr>
        <w:tabs>
          <w:tab w:val="left" w:pos="360"/>
        </w:tabs>
        <w:ind w:left="720"/>
        <w:rPr>
          <w:sz w:val="22"/>
        </w:rPr>
      </w:pPr>
    </w:p>
    <w:p w:rsidR="002E3690" w:rsidRDefault="002E3690">
      <w:pPr>
        <w:tabs>
          <w:tab w:val="left" w:pos="360"/>
        </w:tabs>
        <w:ind w:left="360"/>
        <w:rPr>
          <w:sz w:val="22"/>
        </w:rPr>
      </w:pPr>
    </w:p>
    <w:p w:rsidR="002E3690" w:rsidRDefault="002E3690" w:rsidP="0039616D">
      <w:pPr>
        <w:tabs>
          <w:tab w:val="left" w:pos="360"/>
        </w:tabs>
        <w:rPr>
          <w:sz w:val="22"/>
        </w:rPr>
      </w:pPr>
      <w:r>
        <w:rPr>
          <w:sz w:val="22"/>
        </w:rPr>
        <w:t xml:space="preserve">Usually, numbers are formed by stringing the Roman numerals together and adding them up to make the required number (i.e., II = 2, or XII = 12). If smaller numbers follow larger numbers, the numbers are added (i.e., VIII = 5 + 3 or 8), but if a smaller number precedes a larger number, the smaller number is subtracted from the larger number (i.e., IX = 10 - 1 or 9). </w:t>
      </w:r>
    </w:p>
    <w:p w:rsidR="002E3690" w:rsidRDefault="002E3690">
      <w:pPr>
        <w:tabs>
          <w:tab w:val="left" w:pos="360"/>
        </w:tabs>
        <w:ind w:left="360"/>
        <w:rPr>
          <w:sz w:val="22"/>
        </w:rPr>
      </w:pPr>
    </w:p>
    <w:p w:rsidR="0039616D" w:rsidRDefault="002E3690" w:rsidP="0039616D">
      <w:pPr>
        <w:tabs>
          <w:tab w:val="left" w:pos="360"/>
        </w:tabs>
        <w:rPr>
          <w:sz w:val="22"/>
        </w:rPr>
      </w:pPr>
      <w:r>
        <w:rPr>
          <w:sz w:val="22"/>
        </w:rPr>
        <w:t xml:space="preserve">There is shorthand for the case when there are four of the same symbols in a row.  Instead of IIII for 4, it is written as IV or 5 - 1 = 4.  This only applies to symbols that represent powers of ten.  Since our numbers will be less than 4000, this only makes sense for I, X and C.  Some people think this means you can write IC for 99 but that is not going to be allowed.  When using this shortcut, a symbol can only precede a symbol whose value is 5 or 10 times its own value.  </w:t>
      </w:r>
    </w:p>
    <w:p w:rsidR="0039616D" w:rsidRDefault="0039616D">
      <w:pPr>
        <w:tabs>
          <w:tab w:val="left" w:pos="360"/>
        </w:tabs>
        <w:ind w:left="360"/>
        <w:rPr>
          <w:sz w:val="22"/>
        </w:rPr>
      </w:pPr>
    </w:p>
    <w:p w:rsidR="002E3690" w:rsidRDefault="002E3690" w:rsidP="0039616D">
      <w:pPr>
        <w:tabs>
          <w:tab w:val="left" w:pos="360"/>
        </w:tabs>
        <w:rPr>
          <w:sz w:val="22"/>
        </w:rPr>
      </w:pPr>
      <w:r>
        <w:rPr>
          <w:sz w:val="22"/>
        </w:rPr>
        <w:t>For example, X (10) can only precede L (50) or C (100).  So XL (40) is acceptable, but XD (490?) is not.</w:t>
      </w:r>
    </w:p>
    <w:p w:rsidR="002E3690" w:rsidRDefault="002E3690">
      <w:pPr>
        <w:tabs>
          <w:tab w:val="left" w:pos="720"/>
        </w:tabs>
        <w:ind w:left="720"/>
        <w:rPr>
          <w:sz w:val="22"/>
        </w:rPr>
      </w:pPr>
    </w:p>
    <w:p w:rsidR="002E3690" w:rsidRDefault="002E3690">
      <w:pPr>
        <w:tabs>
          <w:tab w:val="left" w:pos="720"/>
        </w:tabs>
        <w:ind w:left="720"/>
        <w:rPr>
          <w:sz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8"/>
        <w:gridCol w:w="1890"/>
      </w:tblGrid>
      <w:tr w:rsidR="002E3690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2E3690" w:rsidRDefault="002E3690">
            <w:pPr>
              <w:tabs>
                <w:tab w:val="left" w:pos="720"/>
              </w:tabs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Roman Numeral</w:t>
            </w:r>
          </w:p>
        </w:tc>
        <w:tc>
          <w:tcPr>
            <w:tcW w:w="1890" w:type="dxa"/>
          </w:tcPr>
          <w:p w:rsidR="002E3690" w:rsidRDefault="002E3690">
            <w:pPr>
              <w:tabs>
                <w:tab w:val="left" w:pos="720"/>
              </w:tabs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Arabic Number</w:t>
            </w:r>
          </w:p>
        </w:tc>
      </w:tr>
      <w:tr w:rsidR="002E3690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2E3690" w:rsidRDefault="002E3690">
            <w:pPr>
              <w:tabs>
                <w:tab w:val="left" w:pos="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XLVI</w:t>
            </w:r>
          </w:p>
        </w:tc>
        <w:tc>
          <w:tcPr>
            <w:tcW w:w="1890" w:type="dxa"/>
          </w:tcPr>
          <w:p w:rsidR="002E3690" w:rsidRDefault="002E3690">
            <w:pPr>
              <w:tabs>
                <w:tab w:val="left" w:pos="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 w:rsidR="002E3690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2E3690" w:rsidRDefault="002E3690">
            <w:pPr>
              <w:tabs>
                <w:tab w:val="left" w:pos="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XCIX</w:t>
            </w:r>
          </w:p>
        </w:tc>
        <w:tc>
          <w:tcPr>
            <w:tcW w:w="1890" w:type="dxa"/>
          </w:tcPr>
          <w:p w:rsidR="002E3690" w:rsidRDefault="002E3690">
            <w:pPr>
              <w:tabs>
                <w:tab w:val="left" w:pos="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</w:tr>
      <w:tr w:rsidR="002E3690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2E3690" w:rsidRDefault="002E3690">
            <w:pPr>
              <w:tabs>
                <w:tab w:val="left" w:pos="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MDCCCXIX</w:t>
            </w:r>
          </w:p>
        </w:tc>
        <w:tc>
          <w:tcPr>
            <w:tcW w:w="1890" w:type="dxa"/>
          </w:tcPr>
          <w:p w:rsidR="002E3690" w:rsidRDefault="002E3690">
            <w:pPr>
              <w:tabs>
                <w:tab w:val="left" w:pos="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1819</w:t>
            </w:r>
          </w:p>
        </w:tc>
      </w:tr>
      <w:tr w:rsidR="002E3690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2E3690" w:rsidRDefault="002E3690">
            <w:pPr>
              <w:tabs>
                <w:tab w:val="left" w:pos="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DCXLIX</w:t>
            </w:r>
          </w:p>
        </w:tc>
        <w:tc>
          <w:tcPr>
            <w:tcW w:w="1890" w:type="dxa"/>
          </w:tcPr>
          <w:p w:rsidR="002E3690" w:rsidRDefault="002E3690">
            <w:pPr>
              <w:tabs>
                <w:tab w:val="left" w:pos="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649</w:t>
            </w:r>
          </w:p>
        </w:tc>
      </w:tr>
      <w:tr w:rsidR="002E3690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2E3690" w:rsidRDefault="002E3690">
            <w:pPr>
              <w:tabs>
                <w:tab w:val="left" w:pos="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MCMLXXXIII</w:t>
            </w:r>
          </w:p>
        </w:tc>
        <w:tc>
          <w:tcPr>
            <w:tcW w:w="1890" w:type="dxa"/>
          </w:tcPr>
          <w:p w:rsidR="002E3690" w:rsidRDefault="002E3690">
            <w:pPr>
              <w:tabs>
                <w:tab w:val="left" w:pos="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1983</w:t>
            </w:r>
          </w:p>
        </w:tc>
      </w:tr>
    </w:tbl>
    <w:p w:rsidR="002E3690" w:rsidRDefault="002E3690">
      <w:pPr>
        <w:tabs>
          <w:tab w:val="left" w:pos="720"/>
        </w:tabs>
        <w:ind w:left="720"/>
        <w:rPr>
          <w:sz w:val="22"/>
        </w:rPr>
      </w:pPr>
    </w:p>
    <w:p w:rsidR="002E3690" w:rsidRDefault="002E3690">
      <w:pPr>
        <w:tabs>
          <w:tab w:val="left" w:pos="720"/>
        </w:tabs>
        <w:ind w:left="720"/>
        <w:rPr>
          <w:sz w:val="22"/>
        </w:rPr>
      </w:pPr>
    </w:p>
    <w:p w:rsidR="002E3690" w:rsidRDefault="002E3690">
      <w:pPr>
        <w:tabs>
          <w:tab w:val="left" w:pos="720"/>
        </w:tabs>
        <w:ind w:left="720"/>
        <w:rPr>
          <w:sz w:val="22"/>
        </w:rPr>
      </w:pPr>
    </w:p>
    <w:sectPr w:rsidR="002E3690" w:rsidSect="00CA58D2">
      <w:headerReference w:type="default" r:id="rId7"/>
      <w:pgSz w:w="12240" w:h="15840"/>
      <w:pgMar w:top="1440" w:right="1440" w:bottom="1440" w:left="1440" w:header="720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A61" w:rsidRDefault="00810A61">
      <w:r>
        <w:separator/>
      </w:r>
    </w:p>
  </w:endnote>
  <w:endnote w:type="continuationSeparator" w:id="0">
    <w:p w:rsidR="00810A61" w:rsidRDefault="0081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A61" w:rsidRDefault="00810A61">
      <w:r>
        <w:separator/>
      </w:r>
    </w:p>
  </w:footnote>
  <w:footnote w:type="continuationSeparator" w:id="0">
    <w:p w:rsidR="00810A61" w:rsidRDefault="0081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16D" w:rsidRPr="001F1C0C" w:rsidRDefault="0039616D" w:rsidP="0039616D">
    <w:pPr>
      <w:widowControl w:val="0"/>
      <w:tabs>
        <w:tab w:val="center" w:pos="4680"/>
        <w:tab w:val="right" w:pos="8910"/>
      </w:tabs>
      <w:suppressAutoHyphens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D2F95"/>
    <w:multiLevelType w:val="hybridMultilevel"/>
    <w:tmpl w:val="BAAE3B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B24C15"/>
    <w:multiLevelType w:val="hybridMultilevel"/>
    <w:tmpl w:val="A688275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s-MX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90"/>
    <w:rsid w:val="001F1C0C"/>
    <w:rsid w:val="002E3690"/>
    <w:rsid w:val="0039616D"/>
    <w:rsid w:val="00756EE1"/>
    <w:rsid w:val="00810A61"/>
    <w:rsid w:val="00A713FD"/>
    <w:rsid w:val="00AF35D6"/>
    <w:rsid w:val="00C57800"/>
    <w:rsid w:val="00CA58D2"/>
    <w:rsid w:val="00D0746A"/>
    <w:rsid w:val="00D30AF2"/>
    <w:rsid w:val="00F2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875F2"/>
  <w15:chartTrackingRefBased/>
  <w15:docId w15:val="{3D5BBB2B-FCBF-473C-A152-92E29379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customStyle="1" w:styleId="h1">
    <w:name w:val="h1"/>
    <w:basedOn w:val="Normal"/>
    <w:pPr>
      <w:tabs>
        <w:tab w:val="left" w:pos="1080"/>
      </w:tabs>
      <w:ind w:left="36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o2">
    <w:name w:val="o2"/>
    <w:basedOn w:val="o1"/>
    <w:pPr>
      <w:ind w:left="3240"/>
    </w:pPr>
  </w:style>
  <w:style w:type="paragraph" w:customStyle="1" w:styleId="i3">
    <w:name w:val="i3"/>
    <w:basedOn w:val="i2"/>
    <w:pPr>
      <w:ind w:left="1080"/>
    </w:p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720"/>
      </w:tabs>
      <w:ind w:left="720" w:hanging="360"/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2006-02-07T04:41:00Z</cp:lastPrinted>
  <dcterms:created xsi:type="dcterms:W3CDTF">2017-09-08T12:09:00Z</dcterms:created>
  <dcterms:modified xsi:type="dcterms:W3CDTF">2017-09-08T12:09:00Z</dcterms:modified>
</cp:coreProperties>
</file>