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irmala UI" w:cs="Nirmala UI" w:eastAsia="Nirmala UI" w:hAnsi="Nirmala UI"/>
          <w:color w:val="000000"/>
          <w:sz w:val="20"/>
          <w:szCs w:val="20"/>
        </w:rPr>
      </w:pPr>
      <w:r w:rsidDel="00000000" w:rsidR="00000000" w:rsidRPr="00000000">
        <w:rPr>
          <w:rtl w:val="0"/>
        </w:rPr>
        <w:t xml:space="preserve">This “Statement of Work” or “SOW” is effective from 20th March 2026 (the “Effective Date”), by and between Blue Square, with a registered office at Floor 4, 10 East Road, Old Street, London, N1 6AD (hereinafter designated as “Blue Square”) and CP Industries Ltd. with a registered office at Camburgh House, 27 New Dover Road, Canterbury, Kent, United Kingdom, CT1 3DN (hereinafter designated as “Cyphr”). The Blue Square terms and conditions in force as at the date of this SOW are hereby incorporated into this SOW by reference. In the event of any inconsistency between this SOW and those terms the terms of this SOW shall prevail.</w:t>
      </w:r>
      <w:r w:rsidDel="00000000" w:rsidR="00000000" w:rsidRPr="00000000">
        <w:rPr>
          <w:rtl w:val="0"/>
        </w:rPr>
      </w:r>
    </w:p>
    <w:tbl>
      <w:tblPr>
        <w:tblStyle w:val="Table1"/>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8"/>
        <w:gridCol w:w="6686"/>
        <w:tblGridChange w:id="0">
          <w:tblGrid>
            <w:gridCol w:w="2528"/>
            <w:gridCol w:w="6686"/>
          </w:tblGrid>
        </w:tblGridChange>
      </w:tblGrid>
      <w:tr>
        <w:trPr>
          <w:cantSplit w:val="0"/>
          <w:tblHeader w:val="0"/>
        </w:trPr>
        <w:tc>
          <w:tcPr/>
          <w:p w:rsidR="00000000" w:rsidDel="00000000" w:rsidP="00000000" w:rsidRDefault="00000000" w:rsidRPr="00000000" w14:paraId="00000002">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1.0</w:t>
            </w:r>
          </w:p>
        </w:tc>
        <w:tc>
          <w:tcPr/>
          <w:p w:rsidR="00000000" w:rsidDel="00000000" w:rsidP="00000000" w:rsidRDefault="00000000" w:rsidRPr="00000000" w14:paraId="00000003">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The Project</w:t>
            </w:r>
          </w:p>
        </w:tc>
      </w:tr>
      <w:tr>
        <w:trPr>
          <w:cantSplit w:val="0"/>
          <w:tblHeader w:val="0"/>
        </w:trPr>
        <w:tc>
          <w:tcPr>
            <w:gridSpan w:val="2"/>
          </w:tcPr>
          <w:p w:rsidR="00000000" w:rsidDel="00000000" w:rsidP="00000000" w:rsidRDefault="00000000" w:rsidRPr="00000000" w14:paraId="00000004">
            <w:pPr>
              <w:rPr/>
            </w:pP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1.1</w:t>
            </w:r>
          </w:p>
        </w:tc>
        <w:tc>
          <w:tcPr/>
          <w:p w:rsidR="00000000" w:rsidDel="00000000" w:rsidP="00000000" w:rsidRDefault="00000000" w:rsidRPr="00000000" w14:paraId="00000007">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Summary</w:t>
            </w:r>
          </w:p>
        </w:tc>
      </w:tr>
      <w:tr>
        <w:trPr>
          <w:cantSplit w:val="0"/>
          <w:tblHeader w:val="0"/>
        </w:trPr>
        <w:tc>
          <w:tcPr>
            <w:gridSpan w:val="2"/>
          </w:tcPr>
          <w:p w:rsidR="00000000" w:rsidDel="00000000" w:rsidP="00000000" w:rsidRDefault="00000000" w:rsidRPr="00000000" w14:paraId="00000008">
            <w:pPr>
              <w:rPr/>
            </w:pPr>
            <w:r w:rsidDel="00000000" w:rsidR="00000000" w:rsidRPr="00000000">
              <w:rPr>
                <w:rtl w:val="0"/>
              </w:rPr>
              <w:t xml:space="preserve">Cyphr will design and build an updated version of the trainer-led, mobile-first web app experience to support the Samsung 2026 Q2 Contact Centre Roadshow.</w:t>
              <w:br w:type="textWrapping"/>
              <w:br w:type="textWrapping"/>
              <w:t xml:space="preserve">The updates will focus on updated visual design, varied question/answer formats and integrating the leaderboard into the presentation display.</w:t>
              <w:br w:type="textWrapping"/>
              <w:br w:type="textWrapping"/>
              <w:t xml:space="preserve">There will be an additional photo booth experience centred around A Series device and a wireless printer.</w:t>
              <w:br w:type="textWrapping"/>
              <w:br w:type="textWrapping"/>
              <w:t xml:space="preserve">SOW term: 20.03.26 to 04.06.26 Territory: United Kingdom.</w:t>
              <w:br w:type="textWrapping"/>
              <w:br w:type="textWrapping"/>
              <w:t xml:space="preserve">SOW Termination and Extension</w:t>
              <w:br w:type="textWrapping"/>
              <w:br w:type="textWrapping"/>
              <w:t xml:space="preserve">Cyphr will commit the resources required to design, build, test, deploy and support the roadshow web app and photo booth experience for the agreed delivery window.</w:t>
              <w:br w:type="textWrapping"/>
              <w:br w:type="textWrapping"/>
              <w:t xml:space="preserve">Services are time-boxed. Any extension to timeline, additional feature requests, additional markets/locations, or new workstreams will require a Change Request.</w:t>
              <w:br w:type="textWrapping"/>
              <w:br w:type="textWrapping"/>
              <w:t xml:space="preserve">The project timeline is dependent on timely sign-off at agreed milestones. Where Blue Square has third-party providers, their inputs must align to the agreed milestones.</w:t>
            </w:r>
          </w:p>
        </w:tc>
      </w:tr>
      <w:tr>
        <w:trPr>
          <w:cantSplit w:val="0"/>
          <w:tblHeader w:val="0"/>
        </w:trPr>
        <w:tc>
          <w:tcPr/>
          <w:p w:rsidR="00000000" w:rsidDel="00000000" w:rsidP="00000000" w:rsidRDefault="00000000" w:rsidRPr="00000000" w14:paraId="0000000A">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1.2</w:t>
            </w:r>
          </w:p>
        </w:tc>
        <w:tc>
          <w:tcPr/>
          <w:p w:rsidR="00000000" w:rsidDel="00000000" w:rsidP="00000000" w:rsidRDefault="00000000" w:rsidRPr="00000000" w14:paraId="0000000B">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Objectives and Outputs</w:t>
            </w:r>
          </w:p>
        </w:tc>
      </w:tr>
      <w:tr>
        <w:trPr>
          <w:cantSplit w:val="0"/>
          <w:tblHeader w:val="0"/>
        </w:trPr>
        <w:tc>
          <w:tcPr>
            <w:gridSpan w:val="2"/>
          </w:tcPr>
          <w:p w:rsidR="00000000" w:rsidDel="00000000" w:rsidP="00000000" w:rsidRDefault="00000000" w:rsidRPr="00000000" w14:paraId="0000000C">
            <w:pPr>
              <w:rPr/>
            </w:pPr>
            <w:r w:rsidDel="00000000" w:rsidR="00000000" w:rsidRPr="00000000">
              <w:rPr>
                <w:rtl w:val="0"/>
              </w:rPr>
              <w:t xml:space="preserve">Delivery will be time-boxed due to the short timeline. Cyphr will use commercially reasonable efforts to deliver the items below to a standard suitable for live roadshow use. Blue Square acknowledges that this is an event-focused experience and may include minor defects or UI inconsistencies that do not prevent core participation.</w:t>
              <w:br w:type="textWrapping"/>
              <w:br w:type="textWrapping"/>
              <w:t xml:space="preserve">A. Updates to App Experience</w:t>
            </w:r>
          </w:p>
          <w:p w:rsidR="00000000" w:rsidDel="00000000" w:rsidP="00000000" w:rsidRDefault="00000000" w:rsidRPr="00000000" w14:paraId="0000000D">
            <w:pPr>
              <w:rPr/>
            </w:pPr>
            <w:r w:rsidDel="00000000" w:rsidR="00000000" w:rsidRPr="00000000">
              <w:rPr>
                <w:rtl w:val="0"/>
              </w:rPr>
              <w:t xml:space="preserve">Updated UI from A Series branding supplied in Figma for review.</w:t>
              <w:br w:type="textWrapping"/>
              <w:t xml:space="preserve">Updated Q/A formats for quiz set up in CMS.</w:t>
              <w:br w:type="textWrapping"/>
              <w:t xml:space="preserve">Optimisations discussed in retrospective from Q1 Experience.</w:t>
            </w:r>
          </w:p>
          <w:p w:rsidR="00000000" w:rsidDel="00000000" w:rsidP="00000000" w:rsidRDefault="00000000" w:rsidRPr="00000000" w14:paraId="0000000E">
            <w:pPr>
              <w:rPr/>
            </w:pPr>
            <w:r w:rsidDel="00000000" w:rsidR="00000000" w:rsidRPr="00000000">
              <w:rPr>
                <w:rtl w:val="0"/>
              </w:rPr>
              <w:t xml:space="preserve">B. Integrated Leaderboard Presentation</w:t>
            </w:r>
          </w:p>
          <w:p w:rsidR="00000000" w:rsidDel="00000000" w:rsidP="00000000" w:rsidRDefault="00000000" w:rsidRPr="00000000" w14:paraId="0000000F">
            <w:pPr>
              <w:rPr/>
            </w:pPr>
            <w:r w:rsidDel="00000000" w:rsidR="00000000" w:rsidRPr="00000000">
              <w:rPr>
                <w:rtl w:val="0"/>
              </w:rPr>
              <w:t xml:space="preserve">Providing URL for presentation with integrated leaderboard as presentation slide to show quiz progress.</w:t>
            </w:r>
          </w:p>
          <w:p w:rsidR="00000000" w:rsidDel="00000000" w:rsidP="00000000" w:rsidRDefault="00000000" w:rsidRPr="00000000" w14:paraId="00000010">
            <w:pPr>
              <w:rPr/>
            </w:pPr>
            <w:r w:rsidDel="00000000" w:rsidR="00000000" w:rsidRPr="00000000">
              <w:rPr>
                <w:rtl w:val="0"/>
              </w:rPr>
              <w:t xml:space="preserve">C. Photo booth Experience</w:t>
            </w:r>
          </w:p>
          <w:p w:rsidR="00000000" w:rsidDel="00000000" w:rsidP="00000000" w:rsidRDefault="00000000" w:rsidRPr="00000000" w14:paraId="00000011">
            <w:pPr>
              <w:rPr/>
            </w:pPr>
            <w:r w:rsidDel="00000000" w:rsidR="00000000" w:rsidRPr="00000000">
              <w:rPr>
                <w:rtl w:val="0"/>
              </w:rPr>
              <w:t xml:space="preserve">App for A Series device and tablet to enable branded photo booth experience, sending to print on wireless device.</w:t>
            </w:r>
          </w:p>
          <w:p w:rsidR="00000000" w:rsidDel="00000000" w:rsidP="00000000" w:rsidRDefault="00000000" w:rsidRPr="00000000" w14:paraId="00000012">
            <w:pPr>
              <w:rPr/>
            </w:pPr>
            <w:r w:rsidDel="00000000" w:rsidR="00000000" w:rsidRPr="00000000">
              <w:rPr>
                <w:rtl w:val="0"/>
              </w:rPr>
              <w:t xml:space="preserve">D. Support</w:t>
              <w:br w:type="textWrapping"/>
              <w:t xml:space="preserve">Delivery support is included to cover live events. Support scope covers issue triage and fixes for Severity 1 issues that block core roadshow operation throughout tour.</w:t>
            </w:r>
          </w:p>
        </w:tc>
      </w:tr>
      <w:tr>
        <w:trPr>
          <w:cantSplit w:val="0"/>
          <w:tblHeader w:val="0"/>
        </w:trPr>
        <w:tc>
          <w:tcPr/>
          <w:p w:rsidR="00000000" w:rsidDel="00000000" w:rsidP="00000000" w:rsidRDefault="00000000" w:rsidRPr="00000000" w14:paraId="00000014">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1.3</w:t>
            </w:r>
          </w:p>
        </w:tc>
        <w:tc>
          <w:tcPr/>
          <w:p w:rsidR="00000000" w:rsidDel="00000000" w:rsidP="00000000" w:rsidRDefault="00000000" w:rsidRPr="00000000" w14:paraId="00000015">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Assumptions and Exclusions </w:t>
            </w:r>
          </w:p>
        </w:tc>
      </w:tr>
      <w:tr>
        <w:trPr>
          <w:cantSplit w:val="0"/>
          <w:tblHeader w:val="0"/>
        </w:trPr>
        <w:tc>
          <w:tcPr>
            <w:gridSpan w:val="2"/>
          </w:tcPr>
          <w:p w:rsidR="00000000" w:rsidDel="00000000" w:rsidP="00000000" w:rsidRDefault="00000000" w:rsidRPr="00000000" w14:paraId="00000016">
            <w:pPr>
              <w:rPr/>
            </w:pPr>
            <w:r w:rsidDel="00000000" w:rsidR="00000000" w:rsidRPr="00000000">
              <w:rPr>
                <w:rtl w:val="0"/>
              </w:rPr>
              <w:t xml:space="preserve">Client provided inputs</w:t>
              <w:br w:type="textWrapping"/>
              <w:t xml:space="preserve">All content required for delivery will be provided by Blue Square and/or Samsung, including (where applicable) video files, quiz questions and answers, feedback question set, prize list and rules, branding and any required privacy/consent wording.</w:t>
              <w:br w:type="textWrapping"/>
              <w:br w:type="textWrapping"/>
              <w:t xml:space="preserve">Exclusions</w:t>
              <w:br w:type="textWrapping"/>
              <w:t xml:space="preserve">Hardware supply, setup or device procurement (phones/tablets, screens, printers, cameras, LED screens).</w:t>
              <w:br w:type="textWrapping"/>
              <w:t xml:space="preserve">Connectivity provision, including Wi-Fi upgrades or 4G/5G dongles.</w:t>
              <w:br w:type="textWrapping"/>
              <w:t xml:space="preserve">Prize fulfilment, shipping and staffing.</w:t>
              <w:br w:type="textWrapping"/>
              <w:t xml:space="preserve">Creation of video content, quiz content, copywriting, translations or asset production.</w:t>
              <w:br w:type="textWrapping"/>
              <w:t xml:space="preserve">Third-party licensing and hosting costs beyond standard deployment requirements (to be flagged if required).</w:t>
              <w:br w:type="textWrapping"/>
              <w:t xml:space="preserve">Integrations beyond the agreed data capture and export described above.</w:t>
            </w:r>
          </w:p>
        </w:tc>
      </w:tr>
      <w:tr>
        <w:trPr>
          <w:cantSplit w:val="0"/>
          <w:tblHeader w:val="0"/>
        </w:trPr>
        <w:tc>
          <w:tcPr/>
          <w:p w:rsidR="00000000" w:rsidDel="00000000" w:rsidP="00000000" w:rsidRDefault="00000000" w:rsidRPr="00000000" w14:paraId="00000018">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1.4</w:t>
            </w:r>
          </w:p>
        </w:tc>
        <w:tc>
          <w:tcPr/>
          <w:p w:rsidR="00000000" w:rsidDel="00000000" w:rsidP="00000000" w:rsidRDefault="00000000" w:rsidRPr="00000000" w14:paraId="00000019">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Responsibilities</w:t>
            </w:r>
          </w:p>
        </w:tc>
      </w:tr>
      <w:tr>
        <w:trPr>
          <w:cantSplit w:val="0"/>
          <w:tblHeader w:val="0"/>
        </w:trPr>
        <w:tc>
          <w:tcPr>
            <w:gridSpan w:val="2"/>
          </w:tcPr>
          <w:p w:rsidR="00000000" w:rsidDel="00000000" w:rsidP="00000000" w:rsidRDefault="00000000" w:rsidRPr="00000000" w14:paraId="0000001A">
            <w:pPr>
              <w:rPr/>
            </w:pPr>
            <w:r w:rsidDel="00000000" w:rsidR="00000000" w:rsidRPr="00000000">
              <w:rPr>
                <w:rtl w:val="0"/>
              </w:rPr>
              <w:t xml:space="preserve">The Deliverables are intended for live roadshow use. They will be delivered to materially conform to the agreed requirements and prioritised backlog, to ensure milestones are met.</w:t>
            </w:r>
          </w:p>
        </w:tc>
      </w:tr>
      <w:tr>
        <w:trPr>
          <w:cantSplit w:val="0"/>
          <w:tblHeader w:val="0"/>
        </w:trPr>
        <w:tc>
          <w:tcPr/>
          <w:p w:rsidR="00000000" w:rsidDel="00000000" w:rsidP="00000000" w:rsidRDefault="00000000" w:rsidRPr="00000000" w14:paraId="0000001C">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1.5</w:t>
            </w:r>
          </w:p>
        </w:tc>
        <w:tc>
          <w:tcPr/>
          <w:p w:rsidR="00000000" w:rsidDel="00000000" w:rsidP="00000000" w:rsidRDefault="00000000" w:rsidRPr="00000000" w14:paraId="0000001D">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Location of Works</w:t>
            </w:r>
          </w:p>
        </w:tc>
      </w:tr>
      <w:tr>
        <w:trPr>
          <w:cantSplit w:val="0"/>
          <w:tblHeader w:val="0"/>
        </w:trPr>
        <w:tc>
          <w:tcPr>
            <w:gridSpan w:val="2"/>
          </w:tcPr>
          <w:p w:rsidR="00000000" w:rsidDel="00000000" w:rsidP="00000000" w:rsidRDefault="00000000" w:rsidRPr="00000000" w14:paraId="0000001E">
            <w:pPr>
              <w:rPr/>
            </w:pPr>
            <w:r w:rsidDel="00000000" w:rsidR="00000000" w:rsidRPr="00000000">
              <w:rPr>
                <w:rtl w:val="0"/>
              </w:rPr>
              <w:t xml:space="preserve">United Kingdom</w:t>
            </w:r>
          </w:p>
        </w:tc>
      </w:tr>
      <w:tr>
        <w:trPr>
          <w:cantSplit w:val="0"/>
          <w:tblHeader w:val="0"/>
        </w:trPr>
        <w:tc>
          <w:tcPr/>
          <w:p w:rsidR="00000000" w:rsidDel="00000000" w:rsidP="00000000" w:rsidRDefault="00000000" w:rsidRPr="00000000" w14:paraId="00000020">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1.6</w:t>
            </w:r>
          </w:p>
        </w:tc>
        <w:tc>
          <w:tcPr/>
          <w:p w:rsidR="00000000" w:rsidDel="00000000" w:rsidP="00000000" w:rsidRDefault="00000000" w:rsidRPr="00000000" w14:paraId="00000021">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Definitions</w:t>
            </w:r>
          </w:p>
        </w:tc>
      </w:tr>
      <w:tr>
        <w:trPr>
          <w:cantSplit w:val="0"/>
          <w:tblHeader w:val="0"/>
        </w:trPr>
        <w:tc>
          <w:tcPr>
            <w:gridSpan w:val="2"/>
          </w:tcPr>
          <w:p w:rsidR="00000000" w:rsidDel="00000000" w:rsidP="00000000" w:rsidRDefault="00000000" w:rsidRPr="00000000" w14:paraId="00000022">
            <w:pPr>
              <w:rPr>
                <w:rFonts w:ascii="Nirmala UI" w:cs="Nirmala UI" w:eastAsia="Nirmala UI" w:hAnsi="Nirmala UI"/>
                <w:b w:val="1"/>
                <w:bCs w:val="1"/>
                <w:color w:val="000000"/>
                <w:sz w:val="20"/>
                <w:szCs w:val="20"/>
              </w:rPr>
            </w:pPr>
            <w:r w:rsidDel="00000000" w:rsidR="00000000" w:rsidRPr="00000000">
              <w:rPr>
                <w:rtl w:val="0"/>
              </w:rPr>
            </w:r>
          </w:p>
          <w:p w:rsidR="00000000" w:rsidDel="00000000" w:rsidP="00000000" w:rsidRDefault="00000000" w:rsidRPr="00000000" w14:paraId="00000023">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Agency</w:t>
            </w:r>
            <w:r w:rsidDel="00000000" w:rsidR="00000000" w:rsidRPr="00000000">
              <w:rPr>
                <w:rFonts w:ascii="Nirmala UI" w:cs="Nirmala UI" w:eastAsia="Nirmala UI" w:hAnsi="Nirmala UI"/>
                <w:color w:val="000000"/>
                <w:sz w:val="20"/>
                <w:szCs w:val="20"/>
                <w:rtl w:val="0"/>
              </w:rPr>
              <w:t xml:space="preserve"> means the organisation carrying out the works on behalf of the Blue Square</w:t>
            </w:r>
          </w:p>
          <w:p w:rsidR="00000000" w:rsidDel="00000000" w:rsidP="00000000" w:rsidRDefault="00000000" w:rsidRPr="00000000" w14:paraId="00000024">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Assumption </w:t>
            </w:r>
            <w:r w:rsidDel="00000000" w:rsidR="00000000" w:rsidRPr="00000000">
              <w:rPr>
                <w:rFonts w:ascii="Nirmala UI" w:cs="Nirmala UI" w:eastAsia="Nirmala UI" w:hAnsi="Nirmala UI"/>
                <w:color w:val="000000"/>
                <w:sz w:val="20"/>
                <w:szCs w:val="20"/>
                <w:rtl w:val="0"/>
              </w:rPr>
              <w:t xml:space="preserve">means something accepted as true without proof</w:t>
            </w:r>
          </w:p>
          <w:p w:rsidR="00000000" w:rsidDel="00000000" w:rsidP="00000000" w:rsidRDefault="00000000" w:rsidRPr="00000000" w14:paraId="00000025">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Backup</w:t>
            </w:r>
            <w:r w:rsidDel="00000000" w:rsidR="00000000" w:rsidRPr="00000000">
              <w:rPr>
                <w:rFonts w:ascii="Nirmala UI" w:cs="Nirmala UI" w:eastAsia="Nirmala UI" w:hAnsi="Nirmala UI"/>
                <w:color w:val="000000"/>
                <w:sz w:val="20"/>
                <w:szCs w:val="20"/>
                <w:rtl w:val="0"/>
              </w:rPr>
              <w:t xml:space="preserve"> means supporting evidence</w:t>
            </w:r>
          </w:p>
          <w:p w:rsidR="00000000" w:rsidDel="00000000" w:rsidP="00000000" w:rsidRDefault="00000000" w:rsidRPr="00000000" w14:paraId="00000026">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Change Request</w:t>
            </w:r>
            <w:r w:rsidDel="00000000" w:rsidR="00000000" w:rsidRPr="00000000">
              <w:rPr>
                <w:rFonts w:ascii="Nirmala UI" w:cs="Nirmala UI" w:eastAsia="Nirmala UI" w:hAnsi="Nirmala UI"/>
                <w:color w:val="000000"/>
                <w:sz w:val="20"/>
                <w:szCs w:val="20"/>
                <w:rtl w:val="0"/>
              </w:rPr>
              <w:t xml:space="preserve"> means formal proposal for an alteration to the services provided</w:t>
            </w:r>
          </w:p>
          <w:p w:rsidR="00000000" w:rsidDel="00000000" w:rsidP="00000000" w:rsidRDefault="00000000" w:rsidRPr="00000000" w14:paraId="00000027">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Blue Square</w:t>
            </w:r>
            <w:r w:rsidDel="00000000" w:rsidR="00000000" w:rsidRPr="00000000">
              <w:rPr>
                <w:rFonts w:ascii="Nirmala UI" w:cs="Nirmala UI" w:eastAsia="Nirmala UI" w:hAnsi="Nirmala UI"/>
                <w:color w:val="000000"/>
                <w:sz w:val="20"/>
                <w:szCs w:val="20"/>
                <w:rtl w:val="0"/>
              </w:rPr>
              <w:t xml:space="preserve"> means the organisation entering into the agreement for services</w:t>
            </w:r>
          </w:p>
          <w:p w:rsidR="00000000" w:rsidDel="00000000" w:rsidP="00000000" w:rsidRDefault="00000000" w:rsidRPr="00000000" w14:paraId="00000028">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Communications</w:t>
            </w:r>
            <w:r w:rsidDel="00000000" w:rsidR="00000000" w:rsidRPr="00000000">
              <w:rPr>
                <w:rFonts w:ascii="Nirmala UI" w:cs="Nirmala UI" w:eastAsia="Nirmala UI" w:hAnsi="Nirmala UI"/>
                <w:color w:val="000000"/>
                <w:sz w:val="20"/>
                <w:szCs w:val="20"/>
                <w:rtl w:val="0"/>
              </w:rPr>
              <w:t xml:space="preserve"> means a process or act of exchanging information</w:t>
            </w:r>
          </w:p>
          <w:p w:rsidR="00000000" w:rsidDel="00000000" w:rsidP="00000000" w:rsidRDefault="00000000" w:rsidRPr="00000000" w14:paraId="00000029">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Cost</w:t>
            </w:r>
            <w:r w:rsidDel="00000000" w:rsidR="00000000" w:rsidRPr="00000000">
              <w:rPr>
                <w:rFonts w:ascii="Nirmala UI" w:cs="Nirmala UI" w:eastAsia="Nirmala UI" w:hAnsi="Nirmala UI"/>
                <w:color w:val="000000"/>
                <w:sz w:val="20"/>
                <w:szCs w:val="20"/>
                <w:rtl w:val="0"/>
              </w:rPr>
              <w:t xml:space="preserve"> mean the amount of money to be paid for the service</w:t>
            </w:r>
          </w:p>
          <w:p w:rsidR="00000000" w:rsidDel="00000000" w:rsidP="00000000" w:rsidRDefault="00000000" w:rsidRPr="00000000" w14:paraId="0000002A">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Data</w:t>
            </w:r>
            <w:r w:rsidDel="00000000" w:rsidR="00000000" w:rsidRPr="00000000">
              <w:rPr>
                <w:rFonts w:ascii="Nirmala UI" w:cs="Nirmala UI" w:eastAsia="Nirmala UI" w:hAnsi="Nirmala UI"/>
                <w:color w:val="000000"/>
                <w:sz w:val="20"/>
                <w:szCs w:val="20"/>
                <w:rtl w:val="0"/>
              </w:rPr>
              <w:t xml:space="preserve"> means information collected to be examined and considered in decision making</w:t>
            </w:r>
          </w:p>
          <w:p w:rsidR="00000000" w:rsidDel="00000000" w:rsidP="00000000" w:rsidRDefault="00000000" w:rsidRPr="00000000" w14:paraId="0000002B">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Exclusion</w:t>
            </w:r>
            <w:r w:rsidDel="00000000" w:rsidR="00000000" w:rsidRPr="00000000">
              <w:rPr>
                <w:rFonts w:ascii="Nirmala UI" w:cs="Nirmala UI" w:eastAsia="Nirmala UI" w:hAnsi="Nirmala UI"/>
                <w:color w:val="000000"/>
                <w:sz w:val="20"/>
                <w:szCs w:val="20"/>
                <w:rtl w:val="0"/>
              </w:rPr>
              <w:t xml:space="preserve"> means something not taking part in the activity</w:t>
            </w:r>
          </w:p>
          <w:p w:rsidR="00000000" w:rsidDel="00000000" w:rsidP="00000000" w:rsidRDefault="00000000" w:rsidRPr="00000000" w14:paraId="0000002C">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Fee</w:t>
            </w:r>
            <w:r w:rsidDel="00000000" w:rsidR="00000000" w:rsidRPr="00000000">
              <w:rPr>
                <w:rFonts w:ascii="Nirmala UI" w:cs="Nirmala UI" w:eastAsia="Nirmala UI" w:hAnsi="Nirmala UI"/>
                <w:color w:val="000000"/>
                <w:sz w:val="20"/>
                <w:szCs w:val="20"/>
                <w:rtl w:val="0"/>
              </w:rPr>
              <w:t xml:space="preserve"> means the amount of money to be paid for the service</w:t>
            </w:r>
          </w:p>
          <w:p w:rsidR="00000000" w:rsidDel="00000000" w:rsidP="00000000" w:rsidRDefault="00000000" w:rsidRPr="00000000" w14:paraId="0000002D">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Invoice </w:t>
            </w:r>
            <w:r w:rsidDel="00000000" w:rsidR="00000000" w:rsidRPr="00000000">
              <w:rPr>
                <w:rFonts w:ascii="Nirmala UI" w:cs="Nirmala UI" w:eastAsia="Nirmala UI" w:hAnsi="Nirmala UI"/>
                <w:color w:val="000000"/>
                <w:sz w:val="20"/>
                <w:szCs w:val="20"/>
                <w:rtl w:val="0"/>
              </w:rPr>
              <w:t xml:space="preserve">list of work provided with their cost for payment at a future time</w:t>
            </w:r>
          </w:p>
          <w:p w:rsidR="00000000" w:rsidDel="00000000" w:rsidP="00000000" w:rsidRDefault="00000000" w:rsidRPr="00000000" w14:paraId="0000002E">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Location</w:t>
            </w:r>
            <w:r w:rsidDel="00000000" w:rsidR="00000000" w:rsidRPr="00000000">
              <w:rPr>
                <w:rFonts w:ascii="Nirmala UI" w:cs="Nirmala UI" w:eastAsia="Nirmala UI" w:hAnsi="Nirmala UI"/>
                <w:color w:val="000000"/>
                <w:sz w:val="20"/>
                <w:szCs w:val="20"/>
                <w:rtl w:val="0"/>
              </w:rPr>
              <w:t xml:space="preserve"> means the place where to work will be carried out</w:t>
            </w:r>
          </w:p>
          <w:p w:rsidR="00000000" w:rsidDel="00000000" w:rsidP="00000000" w:rsidRDefault="00000000" w:rsidRPr="00000000" w14:paraId="0000002F">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Log </w:t>
            </w:r>
            <w:r w:rsidDel="00000000" w:rsidR="00000000" w:rsidRPr="00000000">
              <w:rPr>
                <w:rFonts w:ascii="Nirmala UI" w:cs="Nirmala UI" w:eastAsia="Nirmala UI" w:hAnsi="Nirmala UI"/>
                <w:color w:val="000000"/>
                <w:sz w:val="20"/>
                <w:szCs w:val="20"/>
                <w:rtl w:val="0"/>
              </w:rPr>
              <w:t xml:space="preserve">means record of events</w:t>
            </w:r>
          </w:p>
          <w:p w:rsidR="00000000" w:rsidDel="00000000" w:rsidP="00000000" w:rsidRDefault="00000000" w:rsidRPr="00000000" w14:paraId="00000030">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Milestone </w:t>
            </w:r>
            <w:r w:rsidDel="00000000" w:rsidR="00000000" w:rsidRPr="00000000">
              <w:rPr>
                <w:rFonts w:ascii="Nirmala UI" w:cs="Nirmala UI" w:eastAsia="Nirmala UI" w:hAnsi="Nirmala UI"/>
                <w:color w:val="000000"/>
                <w:sz w:val="20"/>
                <w:szCs w:val="20"/>
                <w:rtl w:val="0"/>
              </w:rPr>
              <w:t xml:space="preserve">means an agreed significant stage or event </w:t>
            </w:r>
          </w:p>
          <w:p w:rsidR="00000000" w:rsidDel="00000000" w:rsidP="00000000" w:rsidRDefault="00000000" w:rsidRPr="00000000" w14:paraId="00000031">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Objective</w:t>
            </w:r>
            <w:r w:rsidDel="00000000" w:rsidR="00000000" w:rsidRPr="00000000">
              <w:rPr>
                <w:rFonts w:ascii="Nirmala UI" w:cs="Nirmala UI" w:eastAsia="Nirmala UI" w:hAnsi="Nirmala UI"/>
                <w:color w:val="000000"/>
                <w:sz w:val="20"/>
                <w:szCs w:val="20"/>
                <w:rtl w:val="0"/>
              </w:rPr>
              <w:t xml:space="preserve"> means the outcome planned to be achieved</w:t>
            </w:r>
          </w:p>
          <w:p w:rsidR="00000000" w:rsidDel="00000000" w:rsidP="00000000" w:rsidRDefault="00000000" w:rsidRPr="00000000" w14:paraId="00000032">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Output</w:t>
            </w:r>
            <w:r w:rsidDel="00000000" w:rsidR="00000000" w:rsidRPr="00000000">
              <w:rPr>
                <w:rFonts w:ascii="Nirmala UI" w:cs="Nirmala UI" w:eastAsia="Nirmala UI" w:hAnsi="Nirmala UI"/>
                <w:color w:val="000000"/>
                <w:sz w:val="20"/>
                <w:szCs w:val="20"/>
                <w:rtl w:val="0"/>
              </w:rPr>
              <w:t xml:space="preserve"> means the services produced</w:t>
            </w:r>
          </w:p>
          <w:p w:rsidR="00000000" w:rsidDel="00000000" w:rsidP="00000000" w:rsidRDefault="00000000" w:rsidRPr="00000000" w14:paraId="00000033">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Team </w:t>
            </w:r>
            <w:r w:rsidDel="00000000" w:rsidR="00000000" w:rsidRPr="00000000">
              <w:rPr>
                <w:rFonts w:ascii="Nirmala UI" w:cs="Nirmala UI" w:eastAsia="Nirmala UI" w:hAnsi="Nirmala UI"/>
                <w:color w:val="000000"/>
                <w:sz w:val="20"/>
                <w:szCs w:val="20"/>
                <w:rtl w:val="0"/>
              </w:rPr>
              <w:t xml:space="preserve">means the individuals assigned to work on this project</w:t>
            </w:r>
          </w:p>
          <w:p w:rsidR="00000000" w:rsidDel="00000000" w:rsidP="00000000" w:rsidRDefault="00000000" w:rsidRPr="00000000" w14:paraId="00000034">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Reporting </w:t>
            </w:r>
            <w:r w:rsidDel="00000000" w:rsidR="00000000" w:rsidRPr="00000000">
              <w:rPr>
                <w:rFonts w:ascii="Nirmala UI" w:cs="Nirmala UI" w:eastAsia="Nirmala UI" w:hAnsi="Nirmala UI"/>
                <w:color w:val="000000"/>
                <w:sz w:val="20"/>
                <w:szCs w:val="20"/>
                <w:rtl w:val="0"/>
              </w:rPr>
              <w:t xml:space="preserve">means providing a written or spoken account of activities</w:t>
            </w:r>
          </w:p>
          <w:p w:rsidR="00000000" w:rsidDel="00000000" w:rsidP="00000000" w:rsidRDefault="00000000" w:rsidRPr="00000000" w14:paraId="00000035">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Responsibility</w:t>
            </w:r>
            <w:r w:rsidDel="00000000" w:rsidR="00000000" w:rsidRPr="00000000">
              <w:rPr>
                <w:rFonts w:ascii="Nirmala UI" w:cs="Nirmala UI" w:eastAsia="Nirmala UI" w:hAnsi="Nirmala UI"/>
                <w:color w:val="000000"/>
                <w:sz w:val="20"/>
                <w:szCs w:val="20"/>
                <w:rtl w:val="0"/>
              </w:rPr>
              <w:t xml:space="preserve"> means obligation to perform or complete a task</w:t>
            </w:r>
          </w:p>
          <w:p w:rsidR="00000000" w:rsidDel="00000000" w:rsidP="00000000" w:rsidRDefault="00000000" w:rsidRPr="00000000" w14:paraId="00000036">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Risk</w:t>
            </w:r>
            <w:r w:rsidDel="00000000" w:rsidR="00000000" w:rsidRPr="00000000">
              <w:rPr>
                <w:rFonts w:ascii="Nirmala UI" w:cs="Nirmala UI" w:eastAsia="Nirmala UI" w:hAnsi="Nirmala UI"/>
                <w:color w:val="000000"/>
                <w:sz w:val="20"/>
                <w:szCs w:val="20"/>
                <w:rtl w:val="0"/>
              </w:rPr>
              <w:t xml:space="preserve"> means an event or condition that could affect a project objective</w:t>
            </w:r>
          </w:p>
          <w:p w:rsidR="00000000" w:rsidDel="00000000" w:rsidP="00000000" w:rsidRDefault="00000000" w:rsidRPr="00000000" w14:paraId="00000037">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Social Media </w:t>
            </w:r>
            <w:r w:rsidDel="00000000" w:rsidR="00000000" w:rsidRPr="00000000">
              <w:rPr>
                <w:rFonts w:ascii="Nirmala UI" w:cs="Nirmala UI" w:eastAsia="Nirmala UI" w:hAnsi="Nirmala UI"/>
                <w:color w:val="000000"/>
                <w:sz w:val="20"/>
                <w:szCs w:val="20"/>
                <w:rtl w:val="0"/>
              </w:rPr>
              <w:t xml:space="preserve">means websites and applications that enable users to create and share content or to participate in social networking</w:t>
            </w:r>
          </w:p>
          <w:p w:rsidR="00000000" w:rsidDel="00000000" w:rsidP="00000000" w:rsidRDefault="00000000" w:rsidRPr="00000000" w14:paraId="00000038">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Terms</w:t>
            </w:r>
            <w:r w:rsidDel="00000000" w:rsidR="00000000" w:rsidRPr="00000000">
              <w:rPr>
                <w:rFonts w:ascii="Nirmala UI" w:cs="Nirmala UI" w:eastAsia="Nirmala UI" w:hAnsi="Nirmala UI"/>
                <w:color w:val="000000"/>
                <w:sz w:val="20"/>
                <w:szCs w:val="20"/>
                <w:rtl w:val="0"/>
              </w:rPr>
              <w:t xml:space="preserve"> means conditions under which the provision of services will be made</w:t>
            </w:r>
          </w:p>
          <w:p w:rsidR="00000000" w:rsidDel="00000000" w:rsidP="00000000" w:rsidRDefault="00000000" w:rsidRPr="00000000" w14:paraId="00000039">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Total</w:t>
            </w:r>
            <w:r w:rsidDel="00000000" w:rsidR="00000000" w:rsidRPr="00000000">
              <w:rPr>
                <w:rFonts w:ascii="Nirmala UI" w:cs="Nirmala UI" w:eastAsia="Nirmala UI" w:hAnsi="Nirmala UI"/>
                <w:color w:val="000000"/>
                <w:sz w:val="20"/>
                <w:szCs w:val="20"/>
                <w:rtl w:val="0"/>
              </w:rPr>
              <w:t xml:space="preserve"> means the price of all elements of the service costs provided including tax </w:t>
            </w:r>
          </w:p>
          <w:p w:rsidR="00000000" w:rsidDel="00000000" w:rsidP="00000000" w:rsidRDefault="00000000" w:rsidRPr="00000000" w14:paraId="0000003A">
            <w:pPr>
              <w:rPr>
                <w:rFonts w:ascii="Nirmala UI" w:cs="Nirmala UI" w:eastAsia="Nirmala UI" w:hAnsi="Nirmala UI"/>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VAT</w:t>
            </w:r>
            <w:r w:rsidDel="00000000" w:rsidR="00000000" w:rsidRPr="00000000">
              <w:rPr>
                <w:rFonts w:ascii="Nirmala UI" w:cs="Nirmala UI" w:eastAsia="Nirmala UI" w:hAnsi="Nirmala UI"/>
                <w:color w:val="000000"/>
                <w:sz w:val="20"/>
                <w:szCs w:val="20"/>
                <w:rtl w:val="0"/>
              </w:rPr>
              <w:t xml:space="preserve"> means value added tax to be charged as a percentage of the cost/fee</w:t>
            </w:r>
          </w:p>
          <w:p w:rsidR="00000000" w:rsidDel="00000000" w:rsidP="00000000" w:rsidRDefault="00000000" w:rsidRPr="00000000" w14:paraId="0000003B">
            <w:pPr>
              <w:rPr>
                <w:rFonts w:ascii="Nirmala UI" w:cs="Nirmala UI" w:eastAsia="Nirmala UI" w:hAnsi="Nirmala UI"/>
                <w:b w:val="1"/>
                <w:bCs w:val="1"/>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2.0</w:t>
            </w:r>
          </w:p>
        </w:tc>
        <w:tc>
          <w:tcPr/>
          <w:p w:rsidR="00000000" w:rsidDel="00000000" w:rsidP="00000000" w:rsidRDefault="00000000" w:rsidRPr="00000000" w14:paraId="0000003E">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Management</w:t>
            </w:r>
          </w:p>
        </w:tc>
      </w:tr>
      <w:tr>
        <w:trPr>
          <w:cantSplit w:val="0"/>
          <w:trHeight w:val="200" w:hRule="atLeast"/>
          <w:tblHeader w:val="0"/>
        </w:trPr>
        <w:tc>
          <w:tcPr>
            <w:gridSpan w:val="2"/>
          </w:tcPr>
          <w:p w:rsidR="00000000" w:rsidDel="00000000" w:rsidP="00000000" w:rsidRDefault="00000000" w:rsidRPr="00000000" w14:paraId="0000003F">
            <w:pPr>
              <w:rPr>
                <w:rFonts w:ascii="Nirmala UI" w:cs="Nirmala UI" w:eastAsia="Nirmala UI" w:hAnsi="Nirmala UI"/>
                <w:color w:val="000000"/>
                <w:sz w:val="20"/>
                <w:szCs w:val="20"/>
              </w:rPr>
            </w:pPr>
            <w:r w:rsidDel="00000000" w:rsidR="00000000" w:rsidRPr="00000000">
              <w:rPr>
                <w:rFonts w:ascii="Nirmala UI" w:cs="Nirmala UI" w:eastAsia="Nirmala UI" w:hAnsi="Nirmala UI"/>
                <w:sz w:val="20"/>
                <w:szCs w:val="20"/>
                <w:rtl w:val="0"/>
              </w:rPr>
              <w:t xml:space="preserve">Cyphr will meet with the Blue Square team regularly to discuss requirements and timelines, cadence to be agreed between teams.</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2.1</w:t>
            </w:r>
          </w:p>
        </w:tc>
        <w:tc>
          <w:tcPr/>
          <w:p w:rsidR="00000000" w:rsidDel="00000000" w:rsidP="00000000" w:rsidRDefault="00000000" w:rsidRPr="00000000" w14:paraId="00000042">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Team Leaders</w:t>
            </w:r>
          </w:p>
        </w:tc>
      </w:tr>
      <w:tr>
        <w:trPr>
          <w:cantSplit w:val="0"/>
          <w:tblHeader w:val="0"/>
        </w:trPr>
        <w:tc>
          <w:tcPr>
            <w:gridSpan w:val="2"/>
          </w:tcPr>
          <w:p w:rsidR="00000000" w:rsidDel="00000000" w:rsidP="00000000" w:rsidRDefault="00000000" w:rsidRPr="00000000" w14:paraId="00000043">
            <w:pPr>
              <w:rPr/>
            </w:pPr>
            <w:r w:rsidDel="00000000" w:rsidR="00000000" w:rsidRPr="00000000">
              <w:rPr>
                <w:rtl w:val="0"/>
              </w:rPr>
              <w:t xml:space="preserve">Cyphr: Verity Smout</w:t>
            </w:r>
          </w:p>
          <w:p w:rsidR="00000000" w:rsidDel="00000000" w:rsidP="00000000" w:rsidRDefault="00000000" w:rsidRPr="00000000" w14:paraId="00000044">
            <w:pPr>
              <w:rPr/>
            </w:pPr>
            <w:r w:rsidDel="00000000" w:rsidR="00000000" w:rsidRPr="00000000">
              <w:rPr>
                <w:rtl w:val="0"/>
              </w:rPr>
              <w:t xml:space="preserve">Blue Square: </w:t>
            </w:r>
            <w:hyperlink r:id="rId7">
              <w:r w:rsidDel="00000000" w:rsidR="00000000" w:rsidRPr="00000000">
                <w:rPr>
                  <w:color w:val="0000ee"/>
                  <w:u w:val="single"/>
                  <w:rtl w:val="0"/>
                </w:rPr>
                <w:t xml:space="preserve">Charlotte Cavanagh</w:t>
              </w:r>
            </w:hyperlink>
            <w:r w:rsidDel="00000000" w:rsidR="00000000" w:rsidRPr="00000000">
              <w:rPr>
                <w:rtl w:val="0"/>
              </w:rPr>
            </w:r>
          </w:p>
        </w:tc>
      </w:tr>
      <w:tr>
        <w:trPr>
          <w:cantSplit w:val="0"/>
          <w:tblHeader w:val="0"/>
        </w:trPr>
        <w:tc>
          <w:tcPr/>
          <w:p w:rsidR="00000000" w:rsidDel="00000000" w:rsidP="00000000" w:rsidRDefault="00000000" w:rsidRPr="00000000" w14:paraId="00000046">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2.2</w:t>
            </w:r>
          </w:p>
        </w:tc>
        <w:tc>
          <w:tcPr/>
          <w:p w:rsidR="00000000" w:rsidDel="00000000" w:rsidP="00000000" w:rsidRDefault="00000000" w:rsidRPr="00000000" w14:paraId="00000047">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Reporting and Communications</w:t>
            </w:r>
          </w:p>
        </w:tc>
      </w:tr>
      <w:tr>
        <w:trPr>
          <w:cantSplit w:val="0"/>
          <w:tblHeader w:val="0"/>
        </w:trPr>
        <w:tc>
          <w:tcPr>
            <w:gridSpan w:val="2"/>
          </w:tcPr>
          <w:p w:rsidR="00000000" w:rsidDel="00000000" w:rsidP="00000000" w:rsidRDefault="00000000" w:rsidRPr="00000000" w14:paraId="00000048">
            <w:pPr>
              <w:rPr/>
            </w:pPr>
            <w:r w:rsidDel="00000000" w:rsidR="00000000" w:rsidRPr="00000000">
              <w:rPr>
                <w:rtl w:val="0"/>
              </w:rPr>
              <w:t xml:space="preserve">Cyphr will provide regular project updates during delivery, plus daily coordination during the final build and roadshow support window as required.</w:t>
            </w:r>
          </w:p>
        </w:tc>
      </w:tr>
      <w:tr>
        <w:trPr>
          <w:cantSplit w:val="0"/>
          <w:tblHeader w:val="0"/>
        </w:trPr>
        <w:tc>
          <w:tcPr/>
          <w:p w:rsidR="00000000" w:rsidDel="00000000" w:rsidP="00000000" w:rsidRDefault="00000000" w:rsidRPr="00000000" w14:paraId="0000004A">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2.4</w:t>
            </w:r>
          </w:p>
        </w:tc>
        <w:tc>
          <w:tcPr/>
          <w:p w:rsidR="00000000" w:rsidDel="00000000" w:rsidP="00000000" w:rsidRDefault="00000000" w:rsidRPr="00000000" w14:paraId="0000004B">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Milestones</w:t>
            </w:r>
          </w:p>
        </w:tc>
      </w:tr>
      <w:tr>
        <w:trPr>
          <w:cantSplit w:val="0"/>
          <w:tblHeader w:val="0"/>
        </w:trPr>
        <w:tc>
          <w:tcPr>
            <w:gridSpan w:val="2"/>
          </w:tcPr>
          <w:p w:rsidR="00000000" w:rsidDel="00000000" w:rsidP="00000000" w:rsidRDefault="00000000" w:rsidRPr="00000000" w14:paraId="0000004C">
            <w:pPr>
              <w:rPr/>
            </w:pPr>
            <w:r w:rsidDel="00000000" w:rsidR="00000000" w:rsidRPr="00000000">
              <w:rPr>
                <w:rtl w:val="0"/>
              </w:rPr>
            </w:r>
          </w:p>
          <w:tbl>
            <w:tblPr>
              <w:tblStyle w:val="Table2"/>
              <w:tblW w:w="10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2002"/>
              <w:gridCol w:w="5222"/>
              <w:tblGridChange w:id="0">
                <w:tblGrid>
                  <w:gridCol w:w="2977"/>
                  <w:gridCol w:w="2002"/>
                  <w:gridCol w:w="5222"/>
                </w:tblGrid>
              </w:tblGridChange>
            </w:tblGrid>
            <w:tr>
              <w:trPr>
                <w:cantSplit w:val="0"/>
                <w:trHeight w:val="420" w:hRule="atLeast"/>
                <w:tblHeader w:val="0"/>
              </w:trPr>
              <w:tc>
                <w:tcPr>
                  <w:shd w:fill="000000" w:val="clear"/>
                  <w:vAlign w:val="center"/>
                </w:tcPr>
                <w:p w:rsidR="00000000" w:rsidDel="00000000" w:rsidP="00000000" w:rsidRDefault="00000000" w:rsidRPr="00000000" w14:paraId="0000004D">
                  <w:pPr>
                    <w:spacing w:line="240" w:lineRule="auto"/>
                    <w:rPr>
                      <w:b w:val="1"/>
                      <w:bCs w:val="1"/>
                      <w:color w:val="ffffff"/>
                      <w:sz w:val="18"/>
                      <w:szCs w:val="18"/>
                    </w:rPr>
                  </w:pPr>
                  <w:r w:rsidDel="00000000" w:rsidR="00000000" w:rsidRPr="00000000">
                    <w:rPr>
                      <w:b w:val="1"/>
                      <w:bCs w:val="1"/>
                      <w:color w:val="ffffff"/>
                      <w:sz w:val="18"/>
                      <w:szCs w:val="18"/>
                      <w:rtl w:val="0"/>
                    </w:rPr>
                    <w:t xml:space="preserve">Event/Action:</w:t>
                  </w:r>
                </w:p>
              </w:tc>
              <w:tc>
                <w:tcPr>
                  <w:shd w:fill="000000" w:val="clear"/>
                  <w:vAlign w:val="center"/>
                </w:tcPr>
                <w:p w:rsidR="00000000" w:rsidDel="00000000" w:rsidP="00000000" w:rsidRDefault="00000000" w:rsidRPr="00000000" w14:paraId="0000004E">
                  <w:pPr>
                    <w:spacing w:line="240" w:lineRule="auto"/>
                    <w:rPr>
                      <w:b w:val="1"/>
                      <w:bCs w:val="1"/>
                      <w:color w:val="ffffff"/>
                      <w:sz w:val="18"/>
                      <w:szCs w:val="18"/>
                    </w:rPr>
                  </w:pPr>
                  <w:r w:rsidDel="00000000" w:rsidR="00000000" w:rsidRPr="00000000">
                    <w:rPr>
                      <w:b w:val="1"/>
                      <w:bCs w:val="1"/>
                      <w:color w:val="ffffff"/>
                      <w:sz w:val="18"/>
                      <w:szCs w:val="18"/>
                      <w:rtl w:val="0"/>
                    </w:rPr>
                    <w:t xml:space="preserve">Date:</w:t>
                  </w:r>
                </w:p>
              </w:tc>
              <w:tc>
                <w:tcPr>
                  <w:shd w:fill="000000" w:val="clear"/>
                  <w:vAlign w:val="center"/>
                </w:tcPr>
                <w:p w:rsidR="00000000" w:rsidDel="00000000" w:rsidP="00000000" w:rsidRDefault="00000000" w:rsidRPr="00000000" w14:paraId="0000004F">
                  <w:pPr>
                    <w:spacing w:line="240" w:lineRule="auto"/>
                    <w:rPr>
                      <w:b w:val="1"/>
                      <w:bCs w:val="1"/>
                      <w:color w:val="ffffff"/>
                      <w:sz w:val="18"/>
                      <w:szCs w:val="18"/>
                    </w:rPr>
                  </w:pPr>
                  <w:r w:rsidDel="00000000" w:rsidR="00000000" w:rsidRPr="00000000">
                    <w:rPr>
                      <w:b w:val="1"/>
                      <w:bCs w:val="1"/>
                      <w:color w:val="ffffff"/>
                      <w:sz w:val="18"/>
                      <w:szCs w:val="18"/>
                      <w:rtl w:val="0"/>
                    </w:rPr>
                    <w:t xml:space="preserve">Action Owner (Optional):</w:t>
                  </w:r>
                </w:p>
              </w:tc>
            </w:tr>
            <w:tr>
              <w:trPr>
                <w:cantSplit w:val="0"/>
                <w:trHeight w:val="420" w:hRule="atLeast"/>
                <w:tblHeader w:val="0"/>
              </w:trPr>
              <w:tc>
                <w:tcPr>
                  <w:vAlign w:val="center"/>
                </w:tcPr>
                <w:p w:rsidR="00000000" w:rsidDel="00000000" w:rsidP="00000000" w:rsidRDefault="00000000" w:rsidRPr="00000000" w14:paraId="00000050">
                  <w:pPr>
                    <w:spacing w:line="240" w:lineRule="auto"/>
                    <w:rPr>
                      <w:b w:val="1"/>
                      <w:bCs w:val="1"/>
                      <w:sz w:val="18"/>
                      <w:szCs w:val="18"/>
                    </w:rPr>
                  </w:pPr>
                  <w:r w:rsidDel="00000000" w:rsidR="00000000" w:rsidRPr="00000000">
                    <w:rPr>
                      <w:b w:val="1"/>
                      <w:bCs w:val="1"/>
                      <w:sz w:val="18"/>
                      <w:szCs w:val="18"/>
                      <w:rtl w:val="0"/>
                    </w:rPr>
                    <w:t xml:space="preserve">Kick off and scope lock</w:t>
                  </w:r>
                </w:p>
              </w:tc>
              <w:tc>
                <w:tcPr>
                  <w:vAlign w:val="center"/>
                </w:tcPr>
                <w:p w:rsidR="00000000" w:rsidDel="00000000" w:rsidP="00000000" w:rsidRDefault="00000000" w:rsidRPr="00000000" w14:paraId="00000051">
                  <w:pPr>
                    <w:spacing w:line="240" w:lineRule="auto"/>
                    <w:rPr>
                      <w:sz w:val="18"/>
                      <w:szCs w:val="18"/>
                    </w:rPr>
                  </w:pPr>
                  <w:r w:rsidDel="00000000" w:rsidR="00000000" w:rsidRPr="00000000">
                    <w:rPr>
                      <w:sz w:val="18"/>
                      <w:szCs w:val="18"/>
                      <w:rtl w:val="0"/>
                    </w:rPr>
                    <w:t xml:space="preserve">18th March</w:t>
                  </w:r>
                </w:p>
              </w:tc>
              <w:tc>
                <w:tcPr>
                  <w:vAlign w:val="center"/>
                </w:tcPr>
                <w:p w:rsidR="00000000" w:rsidDel="00000000" w:rsidP="00000000" w:rsidRDefault="00000000" w:rsidRPr="00000000" w14:paraId="00000052">
                  <w:pPr>
                    <w:spacing w:line="240" w:lineRule="auto"/>
                    <w:rPr>
                      <w:sz w:val="18"/>
                      <w:szCs w:val="18"/>
                    </w:rPr>
                  </w:pPr>
                  <w:r w:rsidDel="00000000" w:rsidR="00000000" w:rsidRPr="00000000">
                    <w:rPr>
                      <w:sz w:val="18"/>
                      <w:szCs w:val="18"/>
                      <w:rtl w:val="0"/>
                    </w:rPr>
                    <w:t xml:space="preserve">Cyphr / Blue Square</w:t>
                  </w:r>
                </w:p>
              </w:tc>
            </w:tr>
            <w:tr>
              <w:trPr>
                <w:cantSplit w:val="0"/>
                <w:trHeight w:val="420" w:hRule="atLeast"/>
                <w:tblHeader w:val="0"/>
              </w:trPr>
              <w:tc>
                <w:tcPr>
                  <w:vAlign w:val="center"/>
                </w:tcPr>
                <w:p w:rsidR="00000000" w:rsidDel="00000000" w:rsidP="00000000" w:rsidRDefault="00000000" w:rsidRPr="00000000" w14:paraId="00000053">
                  <w:pPr>
                    <w:spacing w:line="240" w:lineRule="auto"/>
                    <w:rPr>
                      <w:b w:val="1"/>
                      <w:bCs w:val="1"/>
                      <w:sz w:val="18"/>
                      <w:szCs w:val="18"/>
                    </w:rPr>
                  </w:pPr>
                  <w:r w:rsidDel="00000000" w:rsidR="00000000" w:rsidRPr="00000000">
                    <w:rPr>
                      <w:b w:val="1"/>
                      <w:bCs w:val="1"/>
                      <w:sz w:val="18"/>
                      <w:szCs w:val="18"/>
                      <w:rtl w:val="0"/>
                    </w:rPr>
                    <w:t xml:space="preserve">Content and asset handover</w:t>
                  </w:r>
                </w:p>
              </w:tc>
              <w:tc>
                <w:tcPr>
                  <w:vAlign w:val="center"/>
                </w:tcPr>
                <w:p w:rsidR="00000000" w:rsidDel="00000000" w:rsidP="00000000" w:rsidRDefault="00000000" w:rsidRPr="00000000" w14:paraId="00000054">
                  <w:pPr>
                    <w:spacing w:line="240" w:lineRule="auto"/>
                    <w:rPr>
                      <w:sz w:val="18"/>
                      <w:szCs w:val="18"/>
                    </w:rPr>
                  </w:pPr>
                  <w:r w:rsidDel="00000000" w:rsidR="00000000" w:rsidRPr="00000000">
                    <w:rPr>
                      <w:sz w:val="18"/>
                      <w:szCs w:val="18"/>
                      <w:rtl w:val="0"/>
                    </w:rPr>
                    <w:t xml:space="preserve">Throughout</w:t>
                  </w:r>
                </w:p>
              </w:tc>
              <w:tc>
                <w:tcPr>
                  <w:vAlign w:val="center"/>
                </w:tcPr>
                <w:p w:rsidR="00000000" w:rsidDel="00000000" w:rsidP="00000000" w:rsidRDefault="00000000" w:rsidRPr="00000000" w14:paraId="00000055">
                  <w:pPr>
                    <w:spacing w:line="240" w:lineRule="auto"/>
                    <w:rPr>
                      <w:b w:val="1"/>
                      <w:bCs w:val="1"/>
                      <w:sz w:val="18"/>
                      <w:szCs w:val="18"/>
                    </w:rPr>
                  </w:pPr>
                  <w:r w:rsidDel="00000000" w:rsidR="00000000" w:rsidRPr="00000000">
                    <w:rPr>
                      <w:sz w:val="18"/>
                      <w:szCs w:val="18"/>
                      <w:rtl w:val="0"/>
                    </w:rPr>
                    <w:t xml:space="preserve">Blue Square</w:t>
                  </w: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056">
                  <w:pPr>
                    <w:spacing w:line="240" w:lineRule="auto"/>
                    <w:rPr>
                      <w:b w:val="1"/>
                      <w:bCs w:val="1"/>
                      <w:sz w:val="18"/>
                      <w:szCs w:val="18"/>
                    </w:rPr>
                  </w:pPr>
                  <w:r w:rsidDel="00000000" w:rsidR="00000000" w:rsidRPr="00000000">
                    <w:rPr>
                      <w:b w:val="1"/>
                      <w:bCs w:val="1"/>
                      <w:sz w:val="18"/>
                      <w:szCs w:val="18"/>
                      <w:rtl w:val="0"/>
                    </w:rPr>
                    <w:t xml:space="preserve">Build</w:t>
                  </w:r>
                </w:p>
              </w:tc>
              <w:tc>
                <w:tcPr>
                  <w:vAlign w:val="center"/>
                </w:tcPr>
                <w:p w:rsidR="00000000" w:rsidDel="00000000" w:rsidP="00000000" w:rsidRDefault="00000000" w:rsidRPr="00000000" w14:paraId="00000057">
                  <w:pPr>
                    <w:spacing w:line="240" w:lineRule="auto"/>
                    <w:rPr>
                      <w:sz w:val="18"/>
                      <w:szCs w:val="18"/>
                    </w:rPr>
                  </w:pPr>
                  <w:r w:rsidDel="00000000" w:rsidR="00000000" w:rsidRPr="00000000">
                    <w:rPr>
                      <w:sz w:val="18"/>
                      <w:szCs w:val="18"/>
                      <w:rtl w:val="0"/>
                    </w:rPr>
                    <w:t xml:space="preserve">30th March</w:t>
                  </w:r>
                </w:p>
              </w:tc>
              <w:tc>
                <w:tcPr>
                  <w:vAlign w:val="center"/>
                </w:tcPr>
                <w:p w:rsidR="00000000" w:rsidDel="00000000" w:rsidP="00000000" w:rsidRDefault="00000000" w:rsidRPr="00000000" w14:paraId="00000058">
                  <w:pPr>
                    <w:spacing w:line="240" w:lineRule="auto"/>
                    <w:rPr>
                      <w:sz w:val="18"/>
                      <w:szCs w:val="18"/>
                    </w:rPr>
                  </w:pPr>
                  <w:r w:rsidDel="00000000" w:rsidR="00000000" w:rsidRPr="00000000">
                    <w:rPr>
                      <w:sz w:val="18"/>
                      <w:szCs w:val="18"/>
                      <w:rtl w:val="0"/>
                    </w:rPr>
                    <w:t xml:space="preserve">Cyphr</w:t>
                  </w:r>
                </w:p>
              </w:tc>
            </w:tr>
            <w:tr>
              <w:trPr>
                <w:cantSplit w:val="0"/>
                <w:trHeight w:val="420" w:hRule="atLeast"/>
                <w:tblHeader w:val="0"/>
              </w:trPr>
              <w:tc>
                <w:tcPr>
                  <w:vAlign w:val="center"/>
                </w:tcPr>
                <w:p w:rsidR="00000000" w:rsidDel="00000000" w:rsidP="00000000" w:rsidRDefault="00000000" w:rsidRPr="00000000" w14:paraId="00000059">
                  <w:pPr>
                    <w:spacing w:line="240" w:lineRule="auto"/>
                    <w:rPr>
                      <w:b w:val="1"/>
                      <w:bCs w:val="1"/>
                      <w:sz w:val="18"/>
                      <w:szCs w:val="18"/>
                    </w:rPr>
                  </w:pPr>
                  <w:r w:rsidDel="00000000" w:rsidR="00000000" w:rsidRPr="00000000">
                    <w:rPr>
                      <w:b w:val="1"/>
                      <w:bCs w:val="1"/>
                      <w:sz w:val="18"/>
                      <w:szCs w:val="18"/>
                      <w:rtl w:val="0"/>
                    </w:rPr>
                    <w:t xml:space="preserve">Run through with Blue Square and Samsung Client</w:t>
                  </w:r>
                </w:p>
              </w:tc>
              <w:tc>
                <w:tcPr>
                  <w:vAlign w:val="center"/>
                </w:tcPr>
                <w:p w:rsidR="00000000" w:rsidDel="00000000" w:rsidP="00000000" w:rsidRDefault="00000000" w:rsidRPr="00000000" w14:paraId="0000005A">
                  <w:pPr>
                    <w:spacing w:line="240" w:lineRule="auto"/>
                    <w:rPr>
                      <w:sz w:val="18"/>
                      <w:szCs w:val="18"/>
                    </w:rPr>
                  </w:pPr>
                  <w:r w:rsidDel="00000000" w:rsidR="00000000" w:rsidRPr="00000000">
                    <w:rPr>
                      <w:sz w:val="18"/>
                      <w:szCs w:val="18"/>
                      <w:rtl w:val="0"/>
                    </w:rPr>
                    <w:t xml:space="preserve">9th April</w:t>
                  </w:r>
                </w:p>
              </w:tc>
              <w:tc>
                <w:tcPr>
                  <w:vAlign w:val="center"/>
                </w:tcPr>
                <w:p w:rsidR="00000000" w:rsidDel="00000000" w:rsidP="00000000" w:rsidRDefault="00000000" w:rsidRPr="00000000" w14:paraId="0000005B">
                  <w:pPr>
                    <w:spacing w:line="240" w:lineRule="auto"/>
                    <w:rPr>
                      <w:sz w:val="18"/>
                      <w:szCs w:val="18"/>
                    </w:rPr>
                  </w:pPr>
                  <w:r w:rsidDel="00000000" w:rsidR="00000000" w:rsidRPr="00000000">
                    <w:rPr>
                      <w:sz w:val="18"/>
                      <w:szCs w:val="18"/>
                      <w:rtl w:val="0"/>
                    </w:rPr>
                    <w:t xml:space="preserve">Cyphr / Blue Square</w:t>
                  </w:r>
                </w:p>
              </w:tc>
            </w:tr>
            <w:tr>
              <w:trPr>
                <w:cantSplit w:val="0"/>
                <w:trHeight w:val="420" w:hRule="atLeast"/>
                <w:tblHeader w:val="0"/>
              </w:trPr>
              <w:tc>
                <w:tcPr>
                  <w:vAlign w:val="center"/>
                </w:tcPr>
                <w:p w:rsidR="00000000" w:rsidDel="00000000" w:rsidP="00000000" w:rsidRDefault="00000000" w:rsidRPr="00000000" w14:paraId="0000005C">
                  <w:pPr>
                    <w:spacing w:line="240" w:lineRule="auto"/>
                    <w:rPr>
                      <w:b w:val="1"/>
                      <w:bCs w:val="1"/>
                      <w:sz w:val="18"/>
                      <w:szCs w:val="18"/>
                    </w:rPr>
                  </w:pPr>
                  <w:r w:rsidDel="00000000" w:rsidR="00000000" w:rsidRPr="00000000">
                    <w:rPr>
                      <w:b w:val="1"/>
                      <w:bCs w:val="1"/>
                      <w:sz w:val="18"/>
                      <w:szCs w:val="18"/>
                      <w:rtl w:val="0"/>
                    </w:rPr>
                    <w:t xml:space="preserve">Go live (Tour 1)</w:t>
                  </w:r>
                </w:p>
              </w:tc>
              <w:tc>
                <w:tcPr>
                  <w:vAlign w:val="center"/>
                </w:tcPr>
                <w:p w:rsidR="00000000" w:rsidDel="00000000" w:rsidP="00000000" w:rsidRDefault="00000000" w:rsidRPr="00000000" w14:paraId="0000005D">
                  <w:pPr>
                    <w:spacing w:line="240" w:lineRule="auto"/>
                    <w:rPr>
                      <w:sz w:val="18"/>
                      <w:szCs w:val="18"/>
                    </w:rPr>
                  </w:pPr>
                  <w:r w:rsidDel="00000000" w:rsidR="00000000" w:rsidRPr="00000000">
                    <w:rPr>
                      <w:sz w:val="18"/>
                      <w:szCs w:val="18"/>
                      <w:rtl w:val="0"/>
                    </w:rPr>
                    <w:t xml:space="preserve">13th April</w:t>
                  </w:r>
                </w:p>
              </w:tc>
              <w:tc>
                <w:tcPr>
                  <w:vAlign w:val="center"/>
                </w:tcPr>
                <w:p w:rsidR="00000000" w:rsidDel="00000000" w:rsidP="00000000" w:rsidRDefault="00000000" w:rsidRPr="00000000" w14:paraId="0000005E">
                  <w:pPr>
                    <w:spacing w:line="240" w:lineRule="auto"/>
                    <w:rPr>
                      <w:sz w:val="18"/>
                      <w:szCs w:val="18"/>
                    </w:rPr>
                  </w:pPr>
                  <w:r w:rsidDel="00000000" w:rsidR="00000000" w:rsidRPr="00000000">
                    <w:rPr>
                      <w:sz w:val="18"/>
                      <w:szCs w:val="18"/>
                      <w:rtl w:val="0"/>
                    </w:rPr>
                    <w:t xml:space="preserve">Cyphr</w:t>
                  </w:r>
                </w:p>
              </w:tc>
            </w:tr>
            <w:tr>
              <w:trPr>
                <w:cantSplit w:val="0"/>
                <w:trHeight w:val="420" w:hRule="atLeast"/>
                <w:tblHeader w:val="0"/>
              </w:trPr>
              <w:tc>
                <w:tcPr>
                  <w:vAlign w:val="center"/>
                </w:tcPr>
                <w:p w:rsidR="00000000" w:rsidDel="00000000" w:rsidP="00000000" w:rsidRDefault="00000000" w:rsidRPr="00000000" w14:paraId="0000005F">
                  <w:pPr>
                    <w:spacing w:line="240" w:lineRule="auto"/>
                    <w:rPr>
                      <w:b w:val="1"/>
                      <w:bCs w:val="1"/>
                      <w:sz w:val="18"/>
                      <w:szCs w:val="18"/>
                    </w:rPr>
                  </w:pPr>
                  <w:r w:rsidDel="00000000" w:rsidR="00000000" w:rsidRPr="00000000">
                    <w:rPr>
                      <w:b w:val="1"/>
                      <w:bCs w:val="1"/>
                      <w:sz w:val="18"/>
                      <w:szCs w:val="18"/>
                      <w:rtl w:val="0"/>
                    </w:rPr>
                    <w:t xml:space="preserve">Event support window</w:t>
                  </w:r>
                </w:p>
              </w:tc>
              <w:tc>
                <w:tcPr>
                  <w:vAlign w:val="center"/>
                </w:tcPr>
                <w:p w:rsidR="00000000" w:rsidDel="00000000" w:rsidP="00000000" w:rsidRDefault="00000000" w:rsidRPr="00000000" w14:paraId="00000060">
                  <w:pPr>
                    <w:spacing w:line="240" w:lineRule="auto"/>
                    <w:rPr>
                      <w:sz w:val="18"/>
                      <w:szCs w:val="18"/>
                    </w:rPr>
                  </w:pPr>
                  <w:r w:rsidDel="00000000" w:rsidR="00000000" w:rsidRPr="00000000">
                    <w:rPr>
                      <w:sz w:val="18"/>
                      <w:szCs w:val="18"/>
                      <w:rtl w:val="0"/>
                    </w:rPr>
                    <w:t xml:space="preserve">23rd</w:t>
                  </w:r>
                  <w:r w:rsidDel="00000000" w:rsidR="00000000" w:rsidRPr="00000000">
                    <w:rPr>
                      <w:rtl w:val="0"/>
                    </w:rPr>
                    <w:t xml:space="preserve"> </w:t>
                  </w:r>
                  <w:r w:rsidDel="00000000" w:rsidR="00000000" w:rsidRPr="00000000">
                    <w:rPr>
                      <w:sz w:val="18"/>
                      <w:szCs w:val="18"/>
                      <w:rtl w:val="0"/>
                    </w:rPr>
                    <w:t xml:space="preserve">February - 20th March</w:t>
                  </w:r>
                </w:p>
              </w:tc>
              <w:tc>
                <w:tcPr>
                  <w:vAlign w:val="center"/>
                </w:tcPr>
                <w:p w:rsidR="00000000" w:rsidDel="00000000" w:rsidP="00000000" w:rsidRDefault="00000000" w:rsidRPr="00000000" w14:paraId="00000061">
                  <w:pPr>
                    <w:spacing w:line="240" w:lineRule="auto"/>
                    <w:rPr>
                      <w:sz w:val="18"/>
                      <w:szCs w:val="18"/>
                    </w:rPr>
                  </w:pPr>
                  <w:r w:rsidDel="00000000" w:rsidR="00000000" w:rsidRPr="00000000">
                    <w:rPr>
                      <w:sz w:val="18"/>
                      <w:szCs w:val="18"/>
                      <w:rtl w:val="0"/>
                    </w:rPr>
                    <w:t xml:space="preserve">Cyphr</w:t>
                  </w:r>
                </w:p>
              </w:tc>
            </w:tr>
          </w:tbl>
          <w:p w:rsidR="00000000" w:rsidDel="00000000" w:rsidP="00000000" w:rsidRDefault="00000000" w:rsidRPr="00000000" w14:paraId="00000062">
            <w:pPr>
              <w:rPr/>
            </w:pP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2.5</w:t>
            </w:r>
          </w:p>
        </w:tc>
        <w:tc>
          <w:tcPr/>
          <w:p w:rsidR="00000000" w:rsidDel="00000000" w:rsidP="00000000" w:rsidRDefault="00000000" w:rsidRPr="00000000" w14:paraId="00000065">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Risks</w:t>
            </w:r>
          </w:p>
        </w:tc>
      </w:tr>
      <w:tr>
        <w:trPr>
          <w:cantSplit w:val="0"/>
          <w:tblHeader w:val="0"/>
        </w:trPr>
        <w:tc>
          <w:tcPr>
            <w:gridSpan w:val="2"/>
          </w:tcPr>
          <w:p w:rsidR="00000000" w:rsidDel="00000000" w:rsidP="00000000" w:rsidRDefault="00000000" w:rsidRPr="00000000" w14:paraId="00000066">
            <w:pPr>
              <w:rPr/>
            </w:pPr>
            <w:r w:rsidDel="00000000" w:rsidR="00000000" w:rsidRPr="00000000">
              <w:rPr>
                <w:rtl w:val="0"/>
              </w:rPr>
              <w:t xml:space="preserve">Cyphr will address Severity 1 issues (blocking registration, video playback, quiz completion, feedback submission, prize allocation, leaderboard display, or admin session reset) identified during testing and the roadshow support window. Non-blocking defects (cosmetic issues, minor copy/layout inconsistencies, edge-case device behaviour) may be deferred pending time and issue prioritisation.</w:t>
            </w:r>
          </w:p>
          <w:p w:rsidR="00000000" w:rsidDel="00000000" w:rsidP="00000000" w:rsidRDefault="00000000" w:rsidRPr="00000000" w14:paraId="00000067">
            <w:pPr>
              <w:rPr/>
            </w:pPr>
            <w:r w:rsidDel="00000000" w:rsidR="00000000" w:rsidRPr="00000000">
              <w:rPr>
                <w:rtl w:val="0"/>
              </w:rPr>
              <w:t xml:space="preserve">Functionality dependent on third parties or environment (for example device permissions, venue connectivity, QR print quality, screen/LED configurations, and Client supplied content formats) is provided on a best-efforts basis and may require agreed fallbacks.</w:t>
            </w:r>
          </w:p>
        </w:tc>
      </w:tr>
      <w:tr>
        <w:trPr>
          <w:cantSplit w:val="0"/>
          <w:tblHeader w:val="0"/>
        </w:trPr>
        <w:tc>
          <w:tcPr/>
          <w:p w:rsidR="00000000" w:rsidDel="00000000" w:rsidP="00000000" w:rsidRDefault="00000000" w:rsidRPr="00000000" w14:paraId="00000069">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3.0</w:t>
            </w:r>
          </w:p>
        </w:tc>
        <w:tc>
          <w:tcPr/>
          <w:p w:rsidR="00000000" w:rsidDel="00000000" w:rsidP="00000000" w:rsidRDefault="00000000" w:rsidRPr="00000000" w14:paraId="0000006A">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Project Commercial Detail</w:t>
            </w:r>
          </w:p>
        </w:tc>
      </w:tr>
      <w:tr>
        <w:trPr>
          <w:cantSplit w:val="0"/>
          <w:tblHeader w:val="0"/>
        </w:trPr>
        <w:tc>
          <w:tcPr/>
          <w:p w:rsidR="00000000" w:rsidDel="00000000" w:rsidP="00000000" w:rsidRDefault="00000000" w:rsidRPr="00000000" w14:paraId="0000006B">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3.1</w:t>
            </w:r>
          </w:p>
        </w:tc>
        <w:tc>
          <w:tcPr/>
          <w:p w:rsidR="00000000" w:rsidDel="00000000" w:rsidP="00000000" w:rsidRDefault="00000000" w:rsidRPr="00000000" w14:paraId="0000006C">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Fee Summary </w:t>
            </w:r>
          </w:p>
        </w:tc>
      </w:tr>
      <w:tr>
        <w:trPr>
          <w:cantSplit w:val="0"/>
          <w:tblHeader w:val="0"/>
        </w:trPr>
        <w:tc>
          <w:tcPr>
            <w:gridSpan w:val="2"/>
          </w:tcPr>
          <w:p w:rsidR="00000000" w:rsidDel="00000000" w:rsidP="00000000" w:rsidRDefault="00000000" w:rsidRPr="00000000" w14:paraId="0000006D">
            <w:pPr>
              <w:rPr>
                <w:b w:val="1"/>
                <w:bCs w:val="1"/>
              </w:rPr>
            </w:pPr>
            <w:r w:rsidDel="00000000" w:rsidR="00000000" w:rsidRPr="00000000">
              <w:rPr>
                <w:rtl w:val="0"/>
              </w:rPr>
              <w:t xml:space="preserve">Services will be charged on a fixed price basis as set out below.</w:t>
              <w:br w:type="textWrapping"/>
              <w:br w:type="textWrapping"/>
            </w:r>
            <w:r w:rsidDel="00000000" w:rsidR="00000000" w:rsidRPr="00000000">
              <w:rPr>
                <w:b w:val="1"/>
                <w:bCs w:val="1"/>
                <w:rtl w:val="0"/>
              </w:rPr>
              <w:t xml:space="preserve">Fee breakdown:</w:t>
            </w:r>
          </w:p>
          <w:p w:rsidR="00000000" w:rsidDel="00000000" w:rsidP="00000000" w:rsidRDefault="00000000" w:rsidRPr="00000000" w14:paraId="0000006E">
            <w:pPr>
              <w:rPr/>
            </w:pPr>
            <w:r w:rsidDel="00000000" w:rsidR="00000000" w:rsidRPr="00000000">
              <w:rPr>
                <w:b w:val="1"/>
                <w:bCs w:val="1"/>
                <w:rtl w:val="0"/>
              </w:rPr>
              <w:t xml:space="preserve">App Experience </w:t>
            </w:r>
            <w:r w:rsidDel="00000000" w:rsidR="00000000" w:rsidRPr="00000000">
              <w:rPr>
                <w:rtl w:val="0"/>
              </w:rPr>
              <w:br w:type="textWrapping"/>
              <w:t xml:space="preserve">£14,700</w:t>
            </w:r>
          </w:p>
          <w:p w:rsidR="00000000" w:rsidDel="00000000" w:rsidP="00000000" w:rsidRDefault="00000000" w:rsidRPr="00000000" w14:paraId="0000006F">
            <w:pPr>
              <w:rPr/>
            </w:pPr>
            <w:r w:rsidDel="00000000" w:rsidR="00000000" w:rsidRPr="00000000">
              <w:rPr>
                <w:b w:val="1"/>
                <w:bCs w:val="1"/>
                <w:rtl w:val="0"/>
              </w:rPr>
              <w:t xml:space="preserve">Photo Booth</w:t>
              <w:br w:type="textWrapping"/>
            </w:r>
            <w:r w:rsidDel="00000000" w:rsidR="00000000" w:rsidRPr="00000000">
              <w:rPr>
                <w:rtl w:val="0"/>
              </w:rPr>
              <w:t xml:space="preserve">£10,614</w:t>
            </w:r>
          </w:p>
          <w:p w:rsidR="00000000" w:rsidDel="00000000" w:rsidP="00000000" w:rsidRDefault="00000000" w:rsidRPr="00000000" w14:paraId="00000070">
            <w:pPr>
              <w:rPr/>
            </w:pPr>
            <w:r w:rsidDel="00000000" w:rsidR="00000000" w:rsidRPr="00000000">
              <w:rPr>
                <w:b w:val="1"/>
                <w:bCs w:val="1"/>
                <w:rtl w:val="0"/>
              </w:rPr>
              <w:t xml:space="preserve">Total fees: £25,314</w:t>
            </w:r>
            <w:r w:rsidDel="00000000" w:rsidR="00000000" w:rsidRPr="00000000">
              <w:rPr>
                <w:rtl w:val="0"/>
              </w:rPr>
            </w:r>
          </w:p>
        </w:tc>
      </w:tr>
      <w:tr>
        <w:trPr>
          <w:cantSplit w:val="0"/>
          <w:tblHeader w:val="0"/>
        </w:trPr>
        <w:tc>
          <w:tcPr/>
          <w:p w:rsidR="00000000" w:rsidDel="00000000" w:rsidP="00000000" w:rsidRDefault="00000000" w:rsidRPr="00000000" w14:paraId="00000072">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3.2</w:t>
            </w:r>
          </w:p>
        </w:tc>
        <w:tc>
          <w:tcPr/>
          <w:p w:rsidR="00000000" w:rsidDel="00000000" w:rsidP="00000000" w:rsidRDefault="00000000" w:rsidRPr="00000000" w14:paraId="00000073">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Invoice Submission </w:t>
            </w:r>
          </w:p>
        </w:tc>
      </w:tr>
      <w:tr>
        <w:trPr>
          <w:cantSplit w:val="0"/>
          <w:tblHeader w:val="0"/>
        </w:trPr>
        <w:tc>
          <w:tcPr>
            <w:gridSpan w:val="2"/>
          </w:tcPr>
          <w:p w:rsidR="00000000" w:rsidDel="00000000" w:rsidP="00000000" w:rsidRDefault="00000000" w:rsidRPr="00000000" w14:paraId="00000074">
            <w:pPr>
              <w:rPr/>
            </w:pPr>
            <w:r w:rsidDel="00000000" w:rsidR="00000000" w:rsidRPr="00000000">
              <w:rPr>
                <w:rtl w:val="0"/>
              </w:rPr>
              <w:t xml:space="preserve">Services will be invoiced on signature of the SOW for the commissioned scope.</w:t>
              <w:br w:type="textWrapping"/>
              <w:t xml:space="preserve">Invoice milestone: Friday 24th April 100% of total fees (£25,314).</w:t>
              <w:br w:type="textWrapping"/>
              <w:t xml:space="preserve">Payment terms: 30 days from invoice date.</w:t>
            </w:r>
          </w:p>
        </w:tc>
      </w:tr>
      <w:tr>
        <w:trPr>
          <w:cantSplit w:val="0"/>
          <w:tblHeader w:val="0"/>
        </w:trPr>
        <w:tc>
          <w:tcPr/>
          <w:p w:rsidR="00000000" w:rsidDel="00000000" w:rsidP="00000000" w:rsidRDefault="00000000" w:rsidRPr="00000000" w14:paraId="00000076">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3.3</w:t>
            </w:r>
          </w:p>
        </w:tc>
        <w:tc>
          <w:tcPr/>
          <w:p w:rsidR="00000000" w:rsidDel="00000000" w:rsidP="00000000" w:rsidRDefault="00000000" w:rsidRPr="00000000" w14:paraId="00000077">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Invoice Instructions</w:t>
            </w:r>
          </w:p>
        </w:tc>
      </w:tr>
      <w:tr>
        <w:trPr>
          <w:cantSplit w:val="0"/>
          <w:tblHeader w:val="0"/>
        </w:trPr>
        <w:tc>
          <w:tcPr>
            <w:gridSpan w:val="2"/>
          </w:tcPr>
          <w:p w:rsidR="00000000" w:rsidDel="00000000" w:rsidP="00000000" w:rsidRDefault="00000000" w:rsidRPr="00000000" w14:paraId="00000078">
            <w:pPr>
              <w:rPr>
                <w:rFonts w:ascii="Nirmala UI" w:cs="Nirmala UI" w:eastAsia="Nirmala UI" w:hAnsi="Nirmala UI"/>
                <w:color w:val="000000"/>
                <w:sz w:val="20"/>
                <w:szCs w:val="20"/>
              </w:rPr>
            </w:pPr>
            <w:r w:rsidDel="00000000" w:rsidR="00000000" w:rsidRPr="00000000">
              <w:rPr>
                <w:rFonts w:ascii="Nirmala UI" w:cs="Nirmala UI" w:eastAsia="Nirmala UI" w:hAnsi="Nirmala UI"/>
                <w:color w:val="000000"/>
                <w:sz w:val="20"/>
                <w:szCs w:val="20"/>
                <w:rtl w:val="0"/>
              </w:rPr>
              <w:t xml:space="preserve">Invoice to be submitted to Accounts Payable | Blue Square &lt;AccountsPayable@bluesquare.uk.com&gt;</w:t>
            </w:r>
          </w:p>
        </w:tc>
      </w:tr>
      <w:tr>
        <w:trPr>
          <w:cantSplit w:val="0"/>
          <w:tblHeader w:val="0"/>
        </w:trPr>
        <w:tc>
          <w:tcPr/>
          <w:p w:rsidR="00000000" w:rsidDel="00000000" w:rsidP="00000000" w:rsidRDefault="00000000" w:rsidRPr="00000000" w14:paraId="0000007A">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3.4</w:t>
            </w:r>
          </w:p>
        </w:tc>
        <w:tc>
          <w:tcPr/>
          <w:p w:rsidR="00000000" w:rsidDel="00000000" w:rsidP="00000000" w:rsidRDefault="00000000" w:rsidRPr="00000000" w14:paraId="0000007B">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Change Request and Sign off</w:t>
            </w:r>
          </w:p>
        </w:tc>
      </w:tr>
      <w:tr>
        <w:trPr>
          <w:cantSplit w:val="0"/>
          <w:tblHeader w:val="0"/>
        </w:trPr>
        <w:tc>
          <w:tcPr>
            <w:gridSpan w:val="2"/>
          </w:tcPr>
          <w:p w:rsidR="00000000" w:rsidDel="00000000" w:rsidP="00000000" w:rsidRDefault="00000000" w:rsidRPr="00000000" w14:paraId="0000007C">
            <w:pPr>
              <w:numPr>
                <w:ilvl w:val="0"/>
                <w:numId w:val="5"/>
              </w:numPr>
              <w:ind w:left="360" w:hanging="360"/>
              <w:rPr>
                <w:rFonts w:ascii="Nirmala UI" w:cs="Nirmala UI" w:eastAsia="Nirmala UI" w:hAnsi="Nirmala UI"/>
                <w:color w:val="000000"/>
                <w:sz w:val="20"/>
                <w:szCs w:val="20"/>
              </w:rPr>
            </w:pPr>
            <w:r w:rsidDel="00000000" w:rsidR="00000000" w:rsidRPr="00000000">
              <w:rPr>
                <w:rFonts w:ascii="Nirmala UI" w:cs="Nirmala UI" w:eastAsia="Nirmala UI" w:hAnsi="Nirmala UI"/>
                <w:color w:val="000000"/>
                <w:sz w:val="20"/>
                <w:szCs w:val="20"/>
                <w:rtl w:val="0"/>
              </w:rPr>
              <w:t xml:space="preserve">A change request (CR) will likely result in an incremental charge and is defined as any change requested by the client to the deliverables defined in 1.2 or a Blue Square request that impacts Cyphr’s ability to deliver on items cited in 1.2.</w:t>
            </w:r>
          </w:p>
          <w:p w:rsidR="00000000" w:rsidDel="00000000" w:rsidP="00000000" w:rsidRDefault="00000000" w:rsidRPr="00000000" w14:paraId="0000007D">
            <w:pPr>
              <w:numPr>
                <w:ilvl w:val="1"/>
                <w:numId w:val="5"/>
              </w:numPr>
              <w:ind w:left="1080" w:hanging="360"/>
              <w:rPr>
                <w:rFonts w:ascii="Nirmala UI" w:cs="Nirmala UI" w:eastAsia="Nirmala UI" w:hAnsi="Nirmala UI"/>
                <w:color w:val="000000"/>
                <w:sz w:val="20"/>
                <w:szCs w:val="20"/>
              </w:rPr>
            </w:pPr>
            <w:r w:rsidDel="00000000" w:rsidR="00000000" w:rsidRPr="00000000">
              <w:rPr>
                <w:rFonts w:ascii="Nirmala UI" w:cs="Nirmala UI" w:eastAsia="Nirmala UI" w:hAnsi="Nirmala UI"/>
                <w:color w:val="000000"/>
                <w:sz w:val="20"/>
                <w:szCs w:val="20"/>
                <w:rtl w:val="0"/>
              </w:rPr>
              <w:t xml:space="preserve">CR can be requested by Blue Square representative mentioned in 2.1</w:t>
            </w:r>
          </w:p>
          <w:p w:rsidR="00000000" w:rsidDel="00000000" w:rsidP="00000000" w:rsidRDefault="00000000" w:rsidRPr="00000000" w14:paraId="0000007E">
            <w:pPr>
              <w:numPr>
                <w:ilvl w:val="1"/>
                <w:numId w:val="5"/>
              </w:numPr>
              <w:ind w:left="1080" w:hanging="360"/>
              <w:rPr>
                <w:rFonts w:ascii="Nirmala UI" w:cs="Nirmala UI" w:eastAsia="Nirmala UI" w:hAnsi="Nirmala UI"/>
                <w:color w:val="000000"/>
                <w:sz w:val="20"/>
                <w:szCs w:val="20"/>
              </w:rPr>
            </w:pPr>
            <w:r w:rsidDel="00000000" w:rsidR="00000000" w:rsidRPr="00000000">
              <w:rPr>
                <w:rFonts w:ascii="Nirmala UI" w:cs="Nirmala UI" w:eastAsia="Nirmala UI" w:hAnsi="Nirmala UI"/>
                <w:color w:val="000000"/>
                <w:sz w:val="20"/>
                <w:szCs w:val="20"/>
                <w:rtl w:val="0"/>
              </w:rPr>
              <w:t xml:space="preserve">CR must be requested in writing/email to the Cyphr Project Manager in 2.1</w:t>
            </w:r>
          </w:p>
          <w:p w:rsidR="00000000" w:rsidDel="00000000" w:rsidP="00000000" w:rsidRDefault="00000000" w:rsidRPr="00000000" w14:paraId="0000007F">
            <w:pPr>
              <w:numPr>
                <w:ilvl w:val="1"/>
                <w:numId w:val="5"/>
              </w:numPr>
              <w:ind w:left="1080" w:hanging="360"/>
              <w:rPr>
                <w:rFonts w:ascii="Nirmala UI" w:cs="Nirmala UI" w:eastAsia="Nirmala UI" w:hAnsi="Nirmala UI"/>
                <w:color w:val="000000"/>
                <w:sz w:val="20"/>
                <w:szCs w:val="20"/>
              </w:rPr>
            </w:pPr>
            <w:r w:rsidDel="00000000" w:rsidR="00000000" w:rsidRPr="00000000">
              <w:rPr>
                <w:rFonts w:ascii="Nirmala UI" w:cs="Nirmala UI" w:eastAsia="Nirmala UI" w:hAnsi="Nirmala UI"/>
                <w:color w:val="000000"/>
                <w:sz w:val="20"/>
                <w:szCs w:val="20"/>
                <w:rtl w:val="0"/>
              </w:rPr>
              <w:t xml:space="preserve">Cyphr will review and inform the Blue Square of any impacts on the project delivery as cited in 2.1. This will include cost, resource, time or materials.</w:t>
            </w:r>
          </w:p>
          <w:p w:rsidR="00000000" w:rsidDel="00000000" w:rsidP="00000000" w:rsidRDefault="00000000" w:rsidRPr="00000000" w14:paraId="00000080">
            <w:pPr>
              <w:numPr>
                <w:ilvl w:val="1"/>
                <w:numId w:val="5"/>
              </w:numPr>
              <w:ind w:left="1080" w:hanging="360"/>
              <w:rPr>
                <w:rFonts w:ascii="Nirmala UI" w:cs="Nirmala UI" w:eastAsia="Nirmala UI" w:hAnsi="Nirmala UI"/>
                <w:color w:val="000000"/>
                <w:sz w:val="20"/>
                <w:szCs w:val="20"/>
              </w:rPr>
            </w:pPr>
            <w:r w:rsidDel="00000000" w:rsidR="00000000" w:rsidRPr="00000000">
              <w:rPr>
                <w:rFonts w:ascii="Nirmala UI" w:cs="Nirmala UI" w:eastAsia="Nirmala UI" w:hAnsi="Nirmala UI"/>
                <w:color w:val="000000"/>
                <w:sz w:val="20"/>
                <w:szCs w:val="20"/>
                <w:rtl w:val="0"/>
              </w:rPr>
              <w:t xml:space="preserve">Cyphr may raise a CR for discussion with the Blue Square if the Project Manager feels that any Blue Square requests during the project delivery impact materially on Cyphr’s ability to complete the SOW as described and signed.</w:t>
            </w:r>
          </w:p>
          <w:p w:rsidR="00000000" w:rsidDel="00000000" w:rsidP="00000000" w:rsidRDefault="00000000" w:rsidRPr="00000000" w14:paraId="00000081">
            <w:pPr>
              <w:numPr>
                <w:ilvl w:val="1"/>
                <w:numId w:val="5"/>
              </w:numPr>
              <w:ind w:left="1080" w:hanging="360"/>
              <w:rPr>
                <w:rFonts w:ascii="Nirmala UI" w:cs="Nirmala UI" w:eastAsia="Nirmala UI" w:hAnsi="Nirmala UI"/>
                <w:color w:val="000000"/>
                <w:sz w:val="20"/>
                <w:szCs w:val="20"/>
              </w:rPr>
            </w:pPr>
            <w:r w:rsidDel="00000000" w:rsidR="00000000" w:rsidRPr="00000000">
              <w:rPr>
                <w:rFonts w:ascii="Nirmala UI" w:cs="Nirmala UI" w:eastAsia="Nirmala UI" w:hAnsi="Nirmala UI"/>
                <w:color w:val="000000"/>
                <w:sz w:val="20"/>
                <w:szCs w:val="20"/>
                <w:rtl w:val="0"/>
              </w:rPr>
              <w:t xml:space="preserve">The client and Project Manager will then agree CR and document on this SOW in section 3.3</w:t>
            </w:r>
          </w:p>
        </w:tc>
      </w:tr>
      <w:tr>
        <w:trPr>
          <w:cantSplit w:val="0"/>
          <w:tblHeader w:val="0"/>
        </w:trPr>
        <w:tc>
          <w:tcPr/>
          <w:p w:rsidR="00000000" w:rsidDel="00000000" w:rsidP="00000000" w:rsidRDefault="00000000" w:rsidRPr="00000000" w14:paraId="00000083">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3.3</w:t>
            </w:r>
          </w:p>
        </w:tc>
        <w:tc>
          <w:tcPr/>
          <w:p w:rsidR="00000000" w:rsidDel="00000000" w:rsidP="00000000" w:rsidRDefault="00000000" w:rsidRPr="00000000" w14:paraId="00000084">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Change Request Log</w:t>
            </w:r>
          </w:p>
        </w:tc>
      </w:tr>
      <w:tr>
        <w:trPr>
          <w:cantSplit w:val="0"/>
          <w:tblHeader w:val="0"/>
        </w:trPr>
        <w:tc>
          <w:tcPr>
            <w:gridSpan w:val="2"/>
          </w:tcPr>
          <w:p w:rsidR="00000000" w:rsidDel="00000000" w:rsidP="00000000" w:rsidRDefault="00000000" w:rsidRPr="00000000" w14:paraId="00000085">
            <w:pPr>
              <w:rPr>
                <w:rFonts w:ascii="Nirmala UI" w:cs="Nirmala UI" w:eastAsia="Nirmala UI" w:hAnsi="Nirmala UI"/>
                <w:i w:val="1"/>
                <w:iCs w:val="1"/>
                <w:color w:val="000000"/>
                <w:sz w:val="20"/>
                <w:szCs w:val="20"/>
              </w:rPr>
            </w:pPr>
            <w:r w:rsidDel="00000000" w:rsidR="00000000" w:rsidRPr="00000000">
              <w:rPr>
                <w:rFonts w:ascii="Nirmala UI" w:cs="Nirmala UI" w:eastAsia="Nirmala UI" w:hAnsi="Nirmala UI"/>
                <w:i w:val="1"/>
                <w:iCs w:val="1"/>
                <w:color w:val="000000"/>
                <w:sz w:val="20"/>
                <w:szCs w:val="20"/>
                <w:rtl w:val="0"/>
              </w:rPr>
              <w:t xml:space="preserve">Detail here each change request (revision and reissue revised SOW). Please note, a new SOW may need to be raised if change request is significant</w:t>
            </w:r>
          </w:p>
          <w:p w:rsidR="00000000" w:rsidDel="00000000" w:rsidP="00000000" w:rsidRDefault="00000000" w:rsidRPr="00000000" w14:paraId="00000086">
            <w:pPr>
              <w:numPr>
                <w:ilvl w:val="0"/>
                <w:numId w:val="6"/>
              </w:numPr>
              <w:ind w:left="720" w:hanging="360"/>
              <w:rPr>
                <w:rFonts w:ascii="Nirmala UI" w:cs="Nirmala UI" w:eastAsia="Nirmala UI" w:hAnsi="Nirmala UI"/>
                <w:i w:val="1"/>
                <w:iCs w:val="1"/>
                <w:color w:val="000000"/>
                <w:sz w:val="20"/>
                <w:szCs w:val="20"/>
              </w:rPr>
            </w:pPr>
            <w:r w:rsidDel="00000000" w:rsidR="00000000" w:rsidRPr="00000000">
              <w:rPr>
                <w:rFonts w:ascii="Nirmala UI" w:cs="Nirmala UI" w:eastAsia="Nirmala UI" w:hAnsi="Nirmala UI"/>
                <w:i w:val="1"/>
                <w:iCs w:val="1"/>
                <w:color w:val="000000"/>
                <w:sz w:val="20"/>
                <w:szCs w:val="20"/>
                <w:rtl w:val="0"/>
              </w:rPr>
              <w:t xml:space="preserve">Date – Item – Agreed by – Impact (project/ cost) SOW revision number XXXXX</w:t>
            </w:r>
          </w:p>
        </w:tc>
      </w:tr>
      <w:tr>
        <w:trPr>
          <w:cantSplit w:val="0"/>
          <w:tblHeader w:val="0"/>
        </w:trPr>
        <w:tc>
          <w:tcPr/>
          <w:p w:rsidR="00000000" w:rsidDel="00000000" w:rsidP="00000000" w:rsidRDefault="00000000" w:rsidRPr="00000000" w14:paraId="00000088">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3.4</w:t>
            </w:r>
          </w:p>
        </w:tc>
        <w:tc>
          <w:tcPr/>
          <w:p w:rsidR="00000000" w:rsidDel="00000000" w:rsidP="00000000" w:rsidRDefault="00000000" w:rsidRPr="00000000" w14:paraId="00000089">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Signatures</w:t>
            </w:r>
          </w:p>
        </w:tc>
      </w:tr>
      <w:tr>
        <w:trPr>
          <w:cantSplit w:val="0"/>
          <w:tblHeader w:val="0"/>
        </w:trPr>
        <w:tc>
          <w:tcPr>
            <w:gridSpan w:val="2"/>
          </w:tcPr>
          <w:p w:rsidR="00000000" w:rsidDel="00000000" w:rsidP="00000000" w:rsidRDefault="00000000" w:rsidRPr="00000000" w14:paraId="0000008A">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Signed by on behalf of Cyphr</w:t>
            </w:r>
          </w:p>
          <w:p w:rsidR="00000000" w:rsidDel="00000000" w:rsidP="00000000" w:rsidRDefault="00000000" w:rsidRPr="00000000" w14:paraId="0000008B">
            <w:pPr>
              <w:rPr>
                <w:rFonts w:ascii="Nirmala UI" w:cs="Nirmala UI" w:eastAsia="Nirmala UI" w:hAnsi="Nirmala UI"/>
                <w:b w:val="1"/>
                <w:bCs w:val="1"/>
                <w:color w:val="000000"/>
                <w:sz w:val="20"/>
                <w:szCs w:val="20"/>
              </w:rPr>
            </w:pPr>
            <w:r w:rsidDel="00000000" w:rsidR="00000000" w:rsidRPr="00000000">
              <w:rPr>
                <w:rtl w:val="0"/>
              </w:rPr>
            </w:r>
          </w:p>
          <w:p w:rsidR="00000000" w:rsidDel="00000000" w:rsidP="00000000" w:rsidRDefault="00000000" w:rsidRPr="00000000" w14:paraId="0000008C">
            <w:pPr>
              <w:rPr>
                <w:rFonts w:ascii="Nirmala UI" w:cs="Nirmala UI" w:eastAsia="Nirmala UI" w:hAnsi="Nirmala UI"/>
                <w:color w:val="000000"/>
                <w:sz w:val="20"/>
                <w:szCs w:val="20"/>
              </w:rPr>
            </w:pPr>
            <w:r w:rsidDel="00000000" w:rsidR="00000000" w:rsidRPr="00000000">
              <w:rPr>
                <w:rFonts w:ascii="Nirmala UI" w:cs="Nirmala UI" w:eastAsia="Nirmala UI" w:hAnsi="Nirmala UI"/>
                <w:sz w:val="20"/>
                <w:szCs w:val="20"/>
                <w:rtl w:val="0"/>
              </w:rPr>
              <w:t xml:space="preserve">Verity Smout</w:t>
            </w:r>
            <w:r w:rsidDel="00000000" w:rsidR="00000000" w:rsidRPr="00000000">
              <w:rPr>
                <w:rFonts w:ascii="Nirmala UI" w:cs="Nirmala UI" w:eastAsia="Nirmala UI" w:hAnsi="Nirmala UI"/>
                <w:color w:val="000000"/>
                <w:sz w:val="20"/>
                <w:szCs w:val="20"/>
                <w:rtl w:val="0"/>
              </w:rPr>
              <w:t xml:space="preserve">                                                        </w:t>
            </w:r>
          </w:p>
          <w:p w:rsidR="00000000" w:rsidDel="00000000" w:rsidP="00000000" w:rsidRDefault="00000000" w:rsidRPr="00000000" w14:paraId="0000008D">
            <w:pPr>
              <w:rPr>
                <w:rFonts w:ascii="Nirmala UI" w:cs="Nirmala UI" w:eastAsia="Nirmala UI" w:hAnsi="Nirmala UI"/>
                <w:color w:val="000000"/>
                <w:sz w:val="20"/>
                <w:szCs w:val="20"/>
              </w:rPr>
            </w:pPr>
            <w:r w:rsidDel="00000000" w:rsidR="00000000" w:rsidRPr="00000000">
              <w:rPr>
                <w:rFonts w:ascii="Nirmala UI" w:cs="Nirmala UI" w:eastAsia="Nirmala UI" w:hAnsi="Nirmala UI"/>
                <w:sz w:val="20"/>
                <w:szCs w:val="20"/>
                <w:rtl w:val="0"/>
              </w:rPr>
              <w:t xml:space="preserve">Head of Production</w:t>
            </w:r>
            <w:r w:rsidDel="00000000" w:rsidR="00000000" w:rsidRPr="00000000">
              <w:rPr>
                <w:rFonts w:ascii="Nirmala UI" w:cs="Nirmala UI" w:eastAsia="Nirmala UI" w:hAnsi="Nirmala UI"/>
                <w:color w:val="000000"/>
                <w:sz w:val="20"/>
                <w:szCs w:val="20"/>
                <w:rtl w:val="0"/>
              </w:rPr>
              <w:t xml:space="preserve">                                                                    </w:t>
            </w:r>
          </w:p>
          <w:p w:rsidR="00000000" w:rsidDel="00000000" w:rsidP="00000000" w:rsidRDefault="00000000" w:rsidRPr="00000000" w14:paraId="0000008E">
            <w:pPr>
              <w:rPr>
                <w:rFonts w:ascii="Nirmala UI" w:cs="Nirmala UI" w:eastAsia="Nirmala UI" w:hAnsi="Nirmala UI"/>
                <w:color w:val="000000"/>
                <w:sz w:val="20"/>
                <w:szCs w:val="20"/>
              </w:rPr>
            </w:pPr>
            <w:r w:rsidDel="00000000" w:rsidR="00000000" w:rsidRPr="00000000">
              <w:rPr>
                <w:rFonts w:ascii="Nirmala UI" w:cs="Nirmala UI" w:eastAsia="Nirmala UI" w:hAnsi="Nirmala UI"/>
                <w:sz w:val="20"/>
                <w:szCs w:val="20"/>
                <w:rtl w:val="0"/>
              </w:rPr>
              <w:t xml:space="preserve">28th April</w:t>
            </w:r>
            <w:r w:rsidDel="00000000" w:rsidR="00000000" w:rsidRPr="00000000">
              <w:rPr>
                <w:rtl w:val="0"/>
              </w:rPr>
              <w:t xml:space="preserve"> 2026</w:t>
            </w:r>
            <w:r w:rsidDel="00000000" w:rsidR="00000000" w:rsidRPr="00000000">
              <w:rPr>
                <w:rtl w:val="0"/>
              </w:rPr>
            </w:r>
          </w:p>
          <w:p w:rsidR="00000000" w:rsidDel="00000000" w:rsidP="00000000" w:rsidRDefault="00000000" w:rsidRPr="00000000" w14:paraId="0000008F">
            <w:pP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color w:val="000000"/>
                <w:sz w:val="20"/>
                <w:szCs w:val="20"/>
                <w:rtl w:val="0"/>
              </w:rPr>
              <w:t xml:space="preserve">Signed by on behalf of Blue Square</w:t>
            </w:r>
          </w:p>
          <w:p w:rsidR="00000000" w:rsidDel="00000000" w:rsidP="00000000" w:rsidRDefault="00000000" w:rsidRPr="00000000" w14:paraId="00000090">
            <w:pPr>
              <w:rPr>
                <w:rFonts w:ascii="Nirmala UI" w:cs="Nirmala UI" w:eastAsia="Nirmala UI" w:hAnsi="Nirmala UI"/>
                <w:color w:val="000000"/>
                <w:sz w:val="20"/>
                <w:szCs w:val="20"/>
              </w:rPr>
            </w:pPr>
            <w:r w:rsidDel="00000000" w:rsidR="00000000" w:rsidRPr="00000000">
              <w:rPr>
                <w:rtl w:val="0"/>
              </w:rPr>
            </w:r>
          </w:p>
          <w:p w:rsidR="00000000" w:rsidDel="00000000" w:rsidP="00000000" w:rsidRDefault="00000000" w:rsidRPr="00000000" w14:paraId="00000091">
            <w:pPr>
              <w:rPr>
                <w:rFonts w:ascii="Nirmala UI" w:cs="Nirmala UI" w:eastAsia="Nirmala UI" w:hAnsi="Nirmala UI"/>
                <w:color w:val="000000"/>
                <w:sz w:val="20"/>
                <w:szCs w:val="20"/>
              </w:rPr>
            </w:pPr>
            <w:r w:rsidDel="00000000" w:rsidR="00000000" w:rsidRPr="00000000">
              <w:rPr>
                <w:rFonts w:ascii="Nirmala UI" w:cs="Nirmala UI" w:eastAsia="Nirmala UI" w:hAnsi="Nirmala UI"/>
                <w:color w:val="000000"/>
                <w:sz w:val="20"/>
                <w:szCs w:val="20"/>
                <w:rtl w:val="0"/>
              </w:rPr>
              <w:t xml:space="preserve">(Name)                                                         (Role)                                                                    (Date)</w:t>
            </w:r>
          </w:p>
        </w:tc>
      </w:tr>
    </w:tbl>
    <w:p w:rsidR="00000000" w:rsidDel="00000000" w:rsidP="00000000" w:rsidRDefault="00000000" w:rsidRPr="00000000" w14:paraId="00000093">
      <w:pPr>
        <w:rPr>
          <w:rFonts w:ascii="Nirmala UI" w:cs="Nirmala UI" w:eastAsia="Nirmala UI" w:hAnsi="Nirmala UI"/>
          <w:sz w:val="20"/>
          <w:szCs w:val="20"/>
        </w:rPr>
      </w:pPr>
      <w:r w:rsidDel="00000000" w:rsidR="00000000" w:rsidRPr="00000000">
        <w:rPr>
          <w:rtl w:val="0"/>
        </w:rPr>
      </w:r>
    </w:p>
    <w:p w:rsidR="00000000" w:rsidDel="00000000" w:rsidP="00000000" w:rsidRDefault="00000000" w:rsidRPr="00000000" w14:paraId="00000094">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5">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6">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7">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8">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9">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A">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B">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C">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D">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E">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9F">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0">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1">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2">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3">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4">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5">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6">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7">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8">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9">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A">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B">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C">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D">
      <w:pP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AE">
      <w:pPr>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Blue Square Marketing Limited Terms and Conditions </w:t>
      </w:r>
    </w:p>
    <w:p w:rsidR="00000000" w:rsidDel="00000000" w:rsidP="00000000" w:rsidRDefault="00000000" w:rsidRPr="00000000" w14:paraId="000000AF">
      <w:pPr>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This agreement is entered into between:  </w:t>
      </w:r>
    </w:p>
    <w:p w:rsidR="00000000" w:rsidDel="00000000" w:rsidP="00000000" w:rsidRDefault="00000000" w:rsidRPr="00000000" w14:paraId="000000B0">
      <w:pPr>
        <w:rPr>
          <w:rFonts w:ascii="Nirmala UI" w:cs="Nirmala UI" w:eastAsia="Nirmala UI" w:hAnsi="Nirmala UI"/>
          <w:b w:val="1"/>
          <w:bCs w:val="1"/>
          <w:sz w:val="20"/>
          <w:szCs w:val="20"/>
        </w:rPr>
      </w:pPr>
      <w:r w:rsidDel="00000000" w:rsidR="00000000" w:rsidRPr="00000000">
        <w:rPr>
          <w:rFonts w:ascii="Nirmala UI" w:cs="Nirmala UI" w:eastAsia="Nirmala UI" w:hAnsi="Nirmala UI"/>
          <w:sz w:val="20"/>
          <w:szCs w:val="20"/>
          <w:rtl w:val="0"/>
        </w:rPr>
        <w:t xml:space="preserve">Blue Square Marketing Limited incorporated and registered in England and Wales with company number: 06797461 whose registered office is at Tate House, Watermark Way, Hertford SG13 7TZ  (</w:t>
      </w:r>
      <w:r w:rsidDel="00000000" w:rsidR="00000000" w:rsidRPr="00000000">
        <w:rPr>
          <w:rFonts w:ascii="Nirmala UI" w:cs="Nirmala UI" w:eastAsia="Nirmala UI" w:hAnsi="Nirmala UI"/>
          <w:b w:val="1"/>
          <w:bCs w:val="1"/>
          <w:sz w:val="20"/>
          <w:szCs w:val="20"/>
          <w:rtl w:val="0"/>
        </w:rPr>
        <w:t xml:space="preserve">Blue Square and/or we, us</w:t>
      </w:r>
      <w:r w:rsidDel="00000000" w:rsidR="00000000" w:rsidRPr="00000000">
        <w:rPr>
          <w:rFonts w:ascii="Nirmala UI" w:cs="Nirmala UI" w:eastAsia="Nirmala UI" w:hAnsi="Nirmala UI"/>
          <w:sz w:val="20"/>
          <w:szCs w:val="20"/>
          <w:rtl w:val="0"/>
        </w:rPr>
        <w:t xml:space="preserve">)</w:t>
      </w:r>
      <w:r w:rsidDel="00000000" w:rsidR="00000000" w:rsidRPr="00000000">
        <w:rPr>
          <w:rtl w:val="0"/>
        </w:rPr>
      </w:r>
    </w:p>
    <w:p w:rsidR="00000000" w:rsidDel="00000000" w:rsidP="00000000" w:rsidRDefault="00000000" w:rsidRPr="00000000" w14:paraId="000000B1">
      <w:pPr>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and</w:t>
      </w:r>
    </w:p>
    <w:p w:rsidR="00000000" w:rsidDel="00000000" w:rsidP="00000000" w:rsidRDefault="00000000" w:rsidRPr="00000000" w14:paraId="000000B2">
      <w:pPr>
        <w:rPr>
          <w:rFonts w:ascii="Nirmala UI" w:cs="Nirmala UI" w:eastAsia="Nirmala UI" w:hAnsi="Nirmala UI"/>
          <w:sz w:val="20"/>
          <w:szCs w:val="20"/>
        </w:rPr>
      </w:pPr>
      <w:r w:rsidDel="00000000" w:rsidR="00000000" w:rsidRPr="00000000">
        <w:rPr>
          <w:rtl w:val="0"/>
        </w:rPr>
        <w:t xml:space="preserve">CP Industries Ltd (trading as Cyphr) incorporated and registered in England and Wales with company number [INSERT COMPANY NUMBER] whose registered office is at Camburgh House, 27 New Dover Road, Canterbury, Kent, United Kingdom, CT1 3DN (Cyphr/and/or you)</w:t>
      </w:r>
      <w:r w:rsidDel="00000000" w:rsidR="00000000" w:rsidRPr="00000000">
        <w:rPr>
          <w:rtl w:val="0"/>
        </w:rPr>
      </w:r>
    </w:p>
    <w:p w:rsidR="00000000" w:rsidDel="00000000" w:rsidP="00000000" w:rsidRDefault="00000000" w:rsidRPr="00000000" w14:paraId="000000B3">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Definitions and Interpretation</w:t>
      </w:r>
    </w:p>
    <w:p w:rsidR="00000000" w:rsidDel="00000000" w:rsidP="00000000" w:rsidRDefault="00000000" w:rsidRPr="00000000" w14:paraId="000000B4">
      <w:pPr>
        <w:numPr>
          <w:ilvl w:val="0"/>
          <w:numId w:val="1"/>
        </w:numPr>
        <w:ind w:left="720" w:hanging="36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In these Conditions the following definitions apply:</w:t>
      </w:r>
    </w:p>
    <w:tbl>
      <w:tblPr>
        <w:tblStyle w:val="Table3"/>
        <w:tblW w:w="8624.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5"/>
        <w:gridCol w:w="6799"/>
        <w:tblGridChange w:id="0">
          <w:tblGrid>
            <w:gridCol w:w="1825"/>
            <w:gridCol w:w="6799"/>
          </w:tblGrid>
        </w:tblGridChange>
      </w:tblGrid>
      <w:tr>
        <w:trPr>
          <w:cantSplit w:val="0"/>
          <w:tblHeader w:val="0"/>
        </w:trPr>
        <w:tc>
          <w:tcPr/>
          <w:p w:rsidR="00000000" w:rsidDel="00000000" w:rsidP="00000000" w:rsidRDefault="00000000" w:rsidRPr="00000000" w14:paraId="000000B5">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Blue Square </w:t>
            </w:r>
          </w:p>
        </w:tc>
        <w:tc>
          <w:tcPr/>
          <w:p w:rsidR="00000000" w:rsidDel="00000000" w:rsidP="00000000" w:rsidRDefault="00000000" w:rsidRPr="00000000" w14:paraId="000000B6">
            <w:pPr>
              <w:rPr/>
            </w:pPr>
            <w:r w:rsidDel="00000000" w:rsidR="00000000" w:rsidRPr="00000000">
              <w:rPr>
                <w:rtl w:val="0"/>
              </w:rPr>
              <w:t xml:space="preserve">means Blue Square’s client, Samsung;</w:t>
            </w:r>
          </w:p>
        </w:tc>
      </w:tr>
      <w:tr>
        <w:trPr>
          <w:cantSplit w:val="0"/>
          <w:tblHeader w:val="0"/>
        </w:trPr>
        <w:tc>
          <w:tcPr/>
          <w:p w:rsidR="00000000" w:rsidDel="00000000" w:rsidP="00000000" w:rsidRDefault="00000000" w:rsidRPr="00000000" w14:paraId="000000B7">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Confidential Information </w:t>
            </w:r>
          </w:p>
        </w:tc>
        <w:tc>
          <w:tcPr/>
          <w:p w:rsidR="00000000" w:rsidDel="00000000" w:rsidP="00000000" w:rsidRDefault="00000000" w:rsidRPr="00000000" w14:paraId="000000B8">
            <w:pPr>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shall include, without limitation, all information designated by the Blue Square as confidential, all information or data concerning or related to Blue Square’s or their Blue Square’s products including the discovery, invention, research, improvement, development, manufacture, or sale thereof), processes, or general business operations (including sales costs, profits, pricing methods, organisation  and employee and Blue Square lists), and any information obtained through access to any information systems which, if not otherwise described above, is of such a nature that a reasonable person would believe it to be confidential or proprietary;</w:t>
            </w:r>
          </w:p>
        </w:tc>
      </w:tr>
      <w:tr>
        <w:trPr>
          <w:cantSplit w:val="0"/>
          <w:tblHeader w:val="0"/>
        </w:trPr>
        <w:tc>
          <w:tcPr/>
          <w:p w:rsidR="00000000" w:rsidDel="00000000" w:rsidP="00000000" w:rsidRDefault="00000000" w:rsidRPr="00000000" w14:paraId="000000B9">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Conditions</w:t>
            </w:r>
          </w:p>
        </w:tc>
        <w:tc>
          <w:tcPr/>
          <w:p w:rsidR="00000000" w:rsidDel="00000000" w:rsidP="00000000" w:rsidRDefault="00000000" w:rsidRPr="00000000" w14:paraId="000000BA">
            <w:pPr>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means Blue Square’s terms and conditions as set out in this document and any special conditions as set out in any accompanying SOW;</w:t>
            </w:r>
          </w:p>
        </w:tc>
      </w:tr>
      <w:tr>
        <w:trPr>
          <w:cantSplit w:val="0"/>
          <w:tblHeader w:val="0"/>
        </w:trPr>
        <w:tc>
          <w:tcPr/>
          <w:p w:rsidR="00000000" w:rsidDel="00000000" w:rsidP="00000000" w:rsidRDefault="00000000" w:rsidRPr="00000000" w14:paraId="000000BB">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Contract</w:t>
            </w:r>
          </w:p>
        </w:tc>
        <w:tc>
          <w:tcPr/>
          <w:p w:rsidR="00000000" w:rsidDel="00000000" w:rsidP="00000000" w:rsidRDefault="00000000" w:rsidRPr="00000000" w14:paraId="000000BC">
            <w:pPr>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means the agreement between the you and Blue Square for the supply and purchase of Services incorporating the Conditions and the SOW;</w:t>
            </w:r>
          </w:p>
        </w:tc>
      </w:tr>
      <w:tr>
        <w:trPr>
          <w:cantSplit w:val="0"/>
          <w:tblHeader w:val="0"/>
        </w:trPr>
        <w:tc>
          <w:tcPr/>
          <w:p w:rsidR="00000000" w:rsidDel="00000000" w:rsidP="00000000" w:rsidRDefault="00000000" w:rsidRPr="00000000" w14:paraId="000000BD">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Intellectual Property Rights</w:t>
            </w:r>
          </w:p>
        </w:tc>
        <w:tc>
          <w:tcPr/>
          <w:p w:rsidR="00000000" w:rsidDel="00000000" w:rsidP="00000000" w:rsidRDefault="00000000" w:rsidRPr="00000000" w14:paraId="000000BE">
            <w:pPr>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means copyright, patents, know-how, trade secrets, trademarks, trade names, design rights, rights in get-up, rights in goodwill, rights in confidential information, rights to sue for passing off, domain names and all similar rights, and in each case whether registered or not; whether vested, contingent or future; including any applications to protect or register such rights and any renewals and extensions of such rights or applications;</w:t>
            </w:r>
          </w:p>
        </w:tc>
      </w:tr>
      <w:tr>
        <w:trPr>
          <w:cantSplit w:val="0"/>
          <w:tblHeader w:val="0"/>
        </w:trPr>
        <w:tc>
          <w:tcPr/>
          <w:p w:rsidR="00000000" w:rsidDel="00000000" w:rsidP="00000000" w:rsidRDefault="00000000" w:rsidRPr="00000000" w14:paraId="000000BF">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Main Agreement </w:t>
            </w:r>
          </w:p>
        </w:tc>
        <w:tc>
          <w:tcPr/>
          <w:p w:rsidR="00000000" w:rsidDel="00000000" w:rsidP="00000000" w:rsidRDefault="00000000" w:rsidRPr="00000000" w14:paraId="000000C0">
            <w:pPr>
              <w:rPr/>
            </w:pPr>
            <w:r w:rsidDel="00000000" w:rsidR="00000000" w:rsidRPr="00000000">
              <w:rPr>
                <w:rtl w:val="0"/>
              </w:rPr>
              <w:t xml:space="preserve">means the Base Services and Consulting Agreement [REFERENCE] and amendments between Blue Square and Samsung dated [INSERT DATE];</w:t>
            </w:r>
          </w:p>
        </w:tc>
      </w:tr>
      <w:tr>
        <w:trPr>
          <w:cantSplit w:val="0"/>
          <w:tblHeader w:val="0"/>
        </w:trPr>
        <w:tc>
          <w:tcPr/>
          <w:p w:rsidR="00000000" w:rsidDel="00000000" w:rsidP="00000000" w:rsidRDefault="00000000" w:rsidRPr="00000000" w14:paraId="000000C1">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Services</w:t>
            </w:r>
          </w:p>
        </w:tc>
        <w:tc>
          <w:tcPr/>
          <w:p w:rsidR="00000000" w:rsidDel="00000000" w:rsidP="00000000" w:rsidRDefault="00000000" w:rsidRPr="00000000" w14:paraId="000000C2">
            <w:pPr>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means the services to be provided as set out in the SOW;</w:t>
            </w:r>
          </w:p>
        </w:tc>
      </w:tr>
      <w:tr>
        <w:trPr>
          <w:cantSplit w:val="0"/>
          <w:tblHeader w:val="0"/>
        </w:trPr>
        <w:tc>
          <w:tcPr/>
          <w:p w:rsidR="00000000" w:rsidDel="00000000" w:rsidP="00000000" w:rsidRDefault="00000000" w:rsidRPr="00000000" w14:paraId="000000C3">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SOW</w:t>
            </w:r>
          </w:p>
        </w:tc>
        <w:tc>
          <w:tcPr/>
          <w:p w:rsidR="00000000" w:rsidDel="00000000" w:rsidP="00000000" w:rsidRDefault="00000000" w:rsidRPr="00000000" w14:paraId="000000C4">
            <w:pPr>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means the Statement of Works detailing the work to be completed for the Blue Square on behalf of Blue Square;</w:t>
            </w:r>
          </w:p>
        </w:tc>
      </w:tr>
    </w:tbl>
    <w:p w:rsidR="00000000" w:rsidDel="00000000" w:rsidP="00000000" w:rsidRDefault="00000000" w:rsidRPr="00000000" w14:paraId="000000C5">
      <w:pPr>
        <w:rPr>
          <w:rFonts w:ascii="Nirmala UI" w:cs="Nirmala UI" w:eastAsia="Nirmala UI" w:hAnsi="Nirmala UI"/>
          <w:sz w:val="20"/>
          <w:szCs w:val="20"/>
        </w:rPr>
      </w:pPr>
      <w:r w:rsidDel="00000000" w:rsidR="00000000" w:rsidRPr="00000000">
        <w:rPr>
          <w:rtl w:val="0"/>
        </w:rPr>
      </w:r>
    </w:p>
    <w:p w:rsidR="00000000" w:rsidDel="00000000" w:rsidP="00000000" w:rsidRDefault="00000000" w:rsidRPr="00000000" w14:paraId="000000C6">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A "business day" means any day other than a Saturday, Sunday or bank holiday.</w:t>
      </w:r>
    </w:p>
    <w:p w:rsidR="00000000" w:rsidDel="00000000" w:rsidP="00000000" w:rsidRDefault="00000000" w:rsidRPr="00000000" w14:paraId="000000C7">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The headings in these Terms and Conditions are for convenience only and do not affect their interpretation.</w:t>
      </w:r>
    </w:p>
    <w:p w:rsidR="00000000" w:rsidDel="00000000" w:rsidP="00000000" w:rsidRDefault="00000000" w:rsidRPr="00000000" w14:paraId="000000C8">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Words in the singular shall include the plural and vice-versa.</w:t>
      </w:r>
    </w:p>
    <w:p w:rsidR="00000000" w:rsidDel="00000000" w:rsidP="00000000" w:rsidRDefault="00000000" w:rsidRPr="00000000" w14:paraId="000000C9">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A reference to a “person” includes a natural person, corporate or unincorporated body and that person’s personal representatives, successors and permitted assigns. </w:t>
      </w:r>
    </w:p>
    <w:p w:rsidR="00000000" w:rsidDel="00000000" w:rsidP="00000000" w:rsidRDefault="00000000" w:rsidRPr="00000000" w14:paraId="000000CA">
      <w:pPr>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Application and entire agreement</w:t>
      </w:r>
    </w:p>
    <w:p w:rsidR="00000000" w:rsidDel="00000000" w:rsidP="00000000" w:rsidRDefault="00000000" w:rsidRPr="00000000" w14:paraId="000000CB">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These Conditions apply to the provision of Services by you to Blue Square.</w:t>
      </w:r>
    </w:p>
    <w:p w:rsidR="00000000" w:rsidDel="00000000" w:rsidP="00000000" w:rsidRDefault="00000000" w:rsidRPr="00000000" w14:paraId="000000CC">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acknowledge that you will not commence any work for us or incur any related expenses or costs unless and until we have agreed and signed a relevant SOW and expressly authorised such work. You acknowledge that you will not be entitled to recover, and hereby irrevocably waive any right to pursue any fees, costs, loss or damages from us in connection with any work that was commenced prior to receiving our authorisation as stipulated under this clause 7. </w:t>
      </w:r>
    </w:p>
    <w:p w:rsidR="00000000" w:rsidDel="00000000" w:rsidP="00000000" w:rsidRDefault="00000000" w:rsidRPr="00000000" w14:paraId="000000CD">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are deemed to have accepted these Terms and Conditions upon signing a relevant SOW or from the date of any performance of the Services (whichever happens earlier) and these Conditions apply to and form part of the Contract which constitutes the entire agreement between us.</w:t>
      </w:r>
    </w:p>
    <w:p w:rsidR="00000000" w:rsidDel="00000000" w:rsidP="00000000" w:rsidRDefault="00000000" w:rsidRPr="00000000" w14:paraId="000000CE">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acknowledge that you have not relied on any statement, promise or representation made or given by us or on our behalf.  These Conditions apply to the Contract to the exclusion of any other terms that you try to impose or incorporate, or which are implied by trade, custom, practice or course of dealing.</w:t>
      </w:r>
    </w:p>
    <w:p w:rsidR="00000000" w:rsidDel="00000000" w:rsidP="00000000" w:rsidRDefault="00000000" w:rsidRPr="00000000" w14:paraId="000000CF">
      <w:pPr>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Services</w:t>
      </w:r>
      <w:r w:rsidDel="00000000" w:rsidR="00000000" w:rsidRPr="00000000">
        <w:rPr>
          <w:rtl w:val="0"/>
        </w:rPr>
      </w:r>
    </w:p>
    <w:p w:rsidR="00000000" w:rsidDel="00000000" w:rsidP="00000000" w:rsidRDefault="00000000" w:rsidRPr="00000000" w14:paraId="000000D0">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warrant that you will supply the Services detailed in the SOW with reasonable care and skill.  If you are obliged to make any changes to the Services which are necessary to comply with any applicable law or safety requirement, you will provide us with reasonable notice before implementing any change.</w:t>
      </w:r>
    </w:p>
    <w:p w:rsidR="00000000" w:rsidDel="00000000" w:rsidP="00000000" w:rsidRDefault="00000000" w:rsidRPr="00000000" w14:paraId="000000D1">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will use your best endeavours to complete the performance of the Services detailed in the SOW within the time agreed or as set out in the SOW and time shall be of the essence in the performance of your obligations. </w:t>
      </w:r>
    </w:p>
    <w:p w:rsidR="00000000" w:rsidDel="00000000" w:rsidP="00000000" w:rsidRDefault="00000000" w:rsidRPr="00000000" w14:paraId="000000D2">
      <w:pPr>
        <w:numPr>
          <w:ilvl w:val="0"/>
          <w:numId w:val="1"/>
        </w:numPr>
        <w:ind w:left="720" w:hanging="360"/>
        <w:jc w:val="both"/>
        <w:rPr/>
      </w:pPr>
      <w:r w:rsidDel="00000000" w:rsidR="00000000" w:rsidRPr="00000000">
        <w:rPr>
          <w:rFonts w:ascii="Nirmala UI" w:cs="Nirmala UI" w:eastAsia="Nirmala UI" w:hAnsi="Nirmala UI"/>
          <w:sz w:val="20"/>
          <w:szCs w:val="20"/>
          <w:rtl w:val="0"/>
        </w:rPr>
        <w:t xml:space="preserve">[These Conditions apply to the supply of any goods as well as Services unless we specify otherwise.]</w:t>
      </w:r>
      <w:r w:rsidDel="00000000" w:rsidR="00000000" w:rsidRPr="00000000">
        <w:rPr>
          <w:rtl w:val="0"/>
        </w:rPr>
      </w:r>
    </w:p>
    <w:p w:rsidR="00000000" w:rsidDel="00000000" w:rsidP="00000000" w:rsidRDefault="00000000" w:rsidRPr="00000000" w14:paraId="000000D3">
      <w:pPr>
        <w:numPr>
          <w:ilvl w:val="0"/>
          <w:numId w:val="1"/>
        </w:numPr>
        <w:ind w:left="720" w:hanging="360"/>
        <w:jc w:val="both"/>
        <w:rPr>
          <w:rFonts w:ascii="Nirmala UI Semilight" w:cs="Nirmala UI Semilight" w:eastAsia="Nirmala UI Semilight" w:hAnsi="Nirmala UI Semilight"/>
          <w:sz w:val="20"/>
          <w:szCs w:val="20"/>
        </w:rPr>
      </w:pPr>
      <w:r w:rsidDel="00000000" w:rsidR="00000000" w:rsidRPr="00000000">
        <w:rPr>
          <w:rFonts w:ascii="Nirmala UI Semilight" w:cs="Nirmala UI Semilight" w:eastAsia="Nirmala UI Semilight" w:hAnsi="Nirmala UI Semilight"/>
          <w:sz w:val="20"/>
          <w:szCs w:val="20"/>
          <w:rtl w:val="0"/>
        </w:rPr>
        <w:t xml:space="preserve">The provisions of the Main Contract are expressly incorporated into these Conditions by this reference and are available for inspection, except for any rates, prices and other commercially confidential details detailed therein. You shall observe, perform, be bound by and comply with the provisions of the Main Contract so far as they relate and apply to the delivery of the Services as set out in the SOW (or any portion of the same) or to any obligation to be observed, performed or complied with by you pursuant to these Conditions so as to avoid any act or omission or default which causes or contributes to any breach by Blue Square of the Main Contract. You shall further at all times promptly: </w:t>
      </w:r>
    </w:p>
    <w:p w:rsidR="00000000" w:rsidDel="00000000" w:rsidP="00000000" w:rsidRDefault="00000000" w:rsidRPr="00000000" w14:paraId="000000D4">
      <w:pPr>
        <w:numPr>
          <w:ilvl w:val="1"/>
          <w:numId w:val="1"/>
        </w:numPr>
        <w:ind w:left="1440" w:hanging="360"/>
        <w:jc w:val="both"/>
        <w:rPr>
          <w:rFonts w:ascii="Nirmala UI Semilight" w:cs="Nirmala UI Semilight" w:eastAsia="Nirmala UI Semilight" w:hAnsi="Nirmala UI Semilight"/>
          <w:sz w:val="20"/>
          <w:szCs w:val="20"/>
        </w:rPr>
      </w:pPr>
      <w:r w:rsidDel="00000000" w:rsidR="00000000" w:rsidRPr="00000000">
        <w:rPr>
          <w:rFonts w:ascii="Nirmala UI Semilight" w:cs="Nirmala UI Semilight" w:eastAsia="Nirmala UI Semilight" w:hAnsi="Nirmala UI Semilight"/>
          <w:sz w:val="20"/>
          <w:szCs w:val="20"/>
          <w:rtl w:val="0"/>
        </w:rPr>
        <w:t xml:space="preserve">provide such co-operation and assistance; </w:t>
      </w:r>
    </w:p>
    <w:p w:rsidR="00000000" w:rsidDel="00000000" w:rsidP="00000000" w:rsidRDefault="00000000" w:rsidRPr="00000000" w14:paraId="000000D5">
      <w:pPr>
        <w:numPr>
          <w:ilvl w:val="1"/>
          <w:numId w:val="1"/>
        </w:numPr>
        <w:ind w:left="1440" w:hanging="360"/>
        <w:jc w:val="both"/>
        <w:rPr>
          <w:rFonts w:ascii="Nirmala UI Semilight" w:cs="Nirmala UI Semilight" w:eastAsia="Nirmala UI Semilight" w:hAnsi="Nirmala UI Semilight"/>
          <w:sz w:val="20"/>
          <w:szCs w:val="20"/>
        </w:rPr>
      </w:pPr>
      <w:r w:rsidDel="00000000" w:rsidR="00000000" w:rsidRPr="00000000">
        <w:rPr>
          <w:rFonts w:ascii="Nirmala UI Semilight" w:cs="Nirmala UI Semilight" w:eastAsia="Nirmala UI Semilight" w:hAnsi="Nirmala UI Semilight"/>
          <w:sz w:val="20"/>
          <w:szCs w:val="20"/>
          <w:rtl w:val="0"/>
        </w:rPr>
        <w:t xml:space="preserve">provide such access to premises, equipment, information, documents and personnel; and </w:t>
      </w:r>
    </w:p>
    <w:p w:rsidR="00000000" w:rsidDel="00000000" w:rsidP="00000000" w:rsidRDefault="00000000" w:rsidRPr="00000000" w14:paraId="000000D6">
      <w:pPr>
        <w:numPr>
          <w:ilvl w:val="1"/>
          <w:numId w:val="1"/>
        </w:numPr>
        <w:ind w:left="1440" w:hanging="360"/>
        <w:jc w:val="both"/>
        <w:rPr>
          <w:rFonts w:ascii="Nirmala UI Semilight" w:cs="Nirmala UI Semilight" w:eastAsia="Nirmala UI Semilight" w:hAnsi="Nirmala UI Semilight"/>
          <w:sz w:val="20"/>
          <w:szCs w:val="20"/>
        </w:rPr>
      </w:pPr>
      <w:r w:rsidDel="00000000" w:rsidR="00000000" w:rsidRPr="00000000">
        <w:rPr>
          <w:rFonts w:ascii="Nirmala UI Semilight" w:cs="Nirmala UI Semilight" w:eastAsia="Nirmala UI Semilight" w:hAnsi="Nirmala UI Semilight"/>
          <w:sz w:val="20"/>
          <w:szCs w:val="20"/>
          <w:rtl w:val="0"/>
        </w:rPr>
        <w:t xml:space="preserve">enter into such documents (including assignments and novations) </w:t>
      </w:r>
    </w:p>
    <w:p w:rsidR="00000000" w:rsidDel="00000000" w:rsidP="00000000" w:rsidRDefault="00000000" w:rsidRPr="00000000" w14:paraId="000000D7">
      <w:pPr>
        <w:ind w:left="720" w:firstLine="0"/>
        <w:rPr>
          <w:rFonts w:ascii="Nirmala UI" w:cs="Nirmala UI" w:eastAsia="Nirmala UI" w:hAnsi="Nirmala UI"/>
          <w:sz w:val="20"/>
          <w:szCs w:val="20"/>
        </w:rPr>
      </w:pPr>
      <w:r w:rsidDel="00000000" w:rsidR="00000000" w:rsidRPr="00000000">
        <w:rPr>
          <w:rFonts w:ascii="Nirmala UI Semilight" w:cs="Nirmala UI Semilight" w:eastAsia="Nirmala UI Semilight" w:hAnsi="Nirmala UI Semilight"/>
          <w:sz w:val="20"/>
          <w:szCs w:val="20"/>
          <w:rtl w:val="0"/>
        </w:rPr>
        <w:t xml:space="preserve">as Blue Square may require from time to time to satisfy any obligations under any Main Contract (insofar as such obligations relate to the Services provided by you under these Conditions). </w:t>
      </w:r>
      <w:r w:rsidDel="00000000" w:rsidR="00000000" w:rsidRPr="00000000">
        <w:rPr>
          <w:rtl w:val="0"/>
        </w:rPr>
      </w:r>
    </w:p>
    <w:p w:rsidR="00000000" w:rsidDel="00000000" w:rsidP="00000000" w:rsidRDefault="00000000" w:rsidRPr="00000000" w14:paraId="000000D8">
      <w:pPr>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Your obligations</w:t>
      </w:r>
    </w:p>
    <w:p w:rsidR="00000000" w:rsidDel="00000000" w:rsidP="00000000" w:rsidRDefault="00000000" w:rsidRPr="00000000" w14:paraId="000000D9">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must obtain any permissions, consents, licences or otherwise that are needed to provide the Services and you must provide us with reasonable notice if you require access to any relevant information, materials, properties and any other matters which you require in order to provide the Services.</w:t>
      </w:r>
    </w:p>
    <w:p w:rsidR="00000000" w:rsidDel="00000000" w:rsidP="00000000" w:rsidRDefault="00000000" w:rsidRPr="00000000" w14:paraId="000000DA">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must not disclose any of the terms of these Conditions without our prior written consent save for where required by law. </w:t>
      </w:r>
    </w:p>
    <w:p w:rsidR="00000000" w:rsidDel="00000000" w:rsidP="00000000" w:rsidRDefault="00000000" w:rsidRPr="00000000" w14:paraId="000000DB">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understand that you are a Subcontractor as defined in the Main Agreement and agree to comply with the applicable obligations set out in the Main Agreement. You will fully indemnify us for any reasonable costs incurred due to you breaching any of the Subcontractor obligations contained in the Main Agreement. </w:t>
      </w:r>
    </w:p>
    <w:p w:rsidR="00000000" w:rsidDel="00000000" w:rsidP="00000000" w:rsidRDefault="00000000" w:rsidRPr="00000000" w14:paraId="000000DC">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will protect the confidentiality of Confidential Information using any necessary means and in any event no less than reasonable care. You will obtain a similar agreement from any employee or agent performing services under the Contract.</w:t>
      </w:r>
    </w:p>
    <w:p w:rsidR="00000000" w:rsidDel="00000000" w:rsidP="00000000" w:rsidRDefault="00000000" w:rsidRPr="00000000" w14:paraId="000000DD">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If you are required to access any of our or our Blue Square’s Information Systems (not limited to net-services, computers, computer systems, communication systems and other information systems) you agree to obey any further obligations we may require from time to time and to sign further agreements prior to access to be binding between us and you, or where required between you and our Blue Square. </w:t>
      </w:r>
    </w:p>
    <w:p w:rsidR="00000000" w:rsidDel="00000000" w:rsidP="00000000" w:rsidRDefault="00000000" w:rsidRPr="00000000" w14:paraId="000000DE">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acknowledge that the Services are part of a larger project for the Blue Square and that any delay or breach of these conditions or the SOW by you may have consequential delay and/or loss which you will be liable for.  Any such sums shall be deductible from any amounts otherwise due to you from us. </w:t>
      </w:r>
    </w:p>
    <w:p w:rsidR="00000000" w:rsidDel="00000000" w:rsidP="00000000" w:rsidRDefault="00000000" w:rsidRPr="00000000" w14:paraId="000000DF">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agree to maintain security measures to comply with your obligations and to ensure that access granted will not impair the integrity and availability of ours or our Blue Square’s Information Systems. </w:t>
      </w:r>
    </w:p>
    <w:p w:rsidR="00000000" w:rsidDel="00000000" w:rsidP="00000000" w:rsidRDefault="00000000" w:rsidRPr="00000000" w14:paraId="000000E0">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agree to adhere to any safety policies that we may put in place from time to time. </w:t>
      </w:r>
    </w:p>
    <w:p w:rsidR="00000000" w:rsidDel="00000000" w:rsidP="00000000" w:rsidRDefault="00000000" w:rsidRPr="00000000" w14:paraId="000000E1">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It is understood and agreed that any business opportunity relating to or similar to Blue Square current or anticipated business opportunities coming to your attention during your engagement is an opportunity belonging to Blue Square. Accordingly, you will advise Blue Square of the opportunity and cannot pursue the opportunity, directly or indirectly, without the written consent from Blue Square.</w:t>
      </w:r>
    </w:p>
    <w:p w:rsidR="00000000" w:rsidDel="00000000" w:rsidP="00000000" w:rsidRDefault="00000000" w:rsidRPr="00000000" w14:paraId="000000E2">
      <w:pPr>
        <w:ind w:firstLine="72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Without the written consent from Blue Square, you further agree not to:</w:t>
      </w:r>
    </w:p>
    <w:p w:rsidR="00000000" w:rsidDel="00000000" w:rsidP="00000000" w:rsidRDefault="00000000" w:rsidRPr="00000000" w14:paraId="000000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solely or jointly with others undertake or join any planning for or organisation of any business activity that would be competitive with the current or anticipated business activities of Blue Square; and </w:t>
      </w:r>
    </w:p>
    <w:p w:rsidR="00000000" w:rsidDel="00000000" w:rsidP="00000000" w:rsidRDefault="00000000" w:rsidRPr="00000000" w14:paraId="000000E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directly or indirectly, engage or participate in any other business activities which Blue Square, in reasonable discretion, determines to be in conflict with the best interests of Blue Square.</w:t>
      </w:r>
    </w:p>
    <w:p w:rsidR="00000000" w:rsidDel="00000000" w:rsidP="00000000" w:rsidRDefault="00000000" w:rsidRPr="00000000" w14:paraId="000000E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For a period of twelve months after the Termination Date, either on your own account or for any other person, firm or company or otherwise solicit, interfere with, engage or endeavour to entice away from Blue Square or offer or cause to be offered any employment to any employee or ex-employee of Blue Square.</w:t>
      </w:r>
    </w:p>
    <w:p w:rsidR="00000000" w:rsidDel="00000000" w:rsidP="00000000" w:rsidRDefault="00000000" w:rsidRPr="00000000" w14:paraId="000000E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For a period of 24 months after the Termination Date, either on your own account or for any other person, firm or company or otherwise solicit or engage with Blue Squares of Blue Square for anticipated business activity which is related to the agreed actions determined by this agreement.</w:t>
      </w:r>
    </w:p>
    <w:p w:rsidR="00000000" w:rsidDel="00000000" w:rsidP="00000000" w:rsidRDefault="00000000" w:rsidRPr="00000000" w14:paraId="000000E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Use any Blue Square social media or media content related to this statement of work</w:t>
      </w:r>
    </w:p>
    <w:p w:rsidR="00000000" w:rsidDel="00000000" w:rsidP="00000000" w:rsidRDefault="00000000" w:rsidRPr="00000000" w14:paraId="000000E8">
      <w:pPr>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Data Protection</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In addition to any indemnification obligations elsewhere in these Applicable Terms, you agree to indemnify, defend, and hold harmless the Blue Square, Blue Square and its affiliates, subsidiaries, successors and assigns from and against any and all claims, losses, demands, liabilities, damages, settlements, expenses and costs (including legal fees and costs), arising from, in connection with, or based on allegations of: (i) any Security Breach (as defined in the Data Protection Law); or (ii) your (or your sub-processors’) failure to comply with any of its obligations set forth under Data Protection Law. This indemnification obligation is not subject to any limitation of liability elsewhere in these Applicable Terms or in the Agreement.</w:t>
      </w:r>
    </w:p>
    <w:p w:rsidR="00000000" w:rsidDel="00000000" w:rsidP="00000000" w:rsidRDefault="00000000" w:rsidRPr="00000000" w14:paraId="000000EA">
      <w:pPr>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Price</w:t>
      </w:r>
    </w:p>
    <w:p w:rsidR="00000000" w:rsidDel="00000000" w:rsidP="00000000" w:rsidRDefault="00000000" w:rsidRPr="00000000" w14:paraId="000000EB">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The price for the Services shall be as set out in the SOW, or in default of such provision, shall be calculated in accordance with our scale of charges in force from time to time (</w:t>
      </w:r>
      <w:r w:rsidDel="00000000" w:rsidR="00000000" w:rsidRPr="00000000">
        <w:rPr>
          <w:rFonts w:ascii="Nirmala UI" w:cs="Nirmala UI" w:eastAsia="Nirmala UI" w:hAnsi="Nirmala UI"/>
          <w:b w:val="1"/>
          <w:bCs w:val="1"/>
          <w:sz w:val="20"/>
          <w:szCs w:val="20"/>
          <w:rtl w:val="0"/>
        </w:rPr>
        <w:t xml:space="preserve">Price</w:t>
      </w:r>
      <w:r w:rsidDel="00000000" w:rsidR="00000000" w:rsidRPr="00000000">
        <w:rPr>
          <w:rFonts w:ascii="Nirmala UI" w:cs="Nirmala UI" w:eastAsia="Nirmala UI" w:hAnsi="Nirmala UI"/>
          <w:sz w:val="20"/>
          <w:szCs w:val="20"/>
          <w:rtl w:val="0"/>
        </w:rPr>
        <w:t xml:space="preserve">). </w:t>
      </w:r>
    </w:p>
    <w:p w:rsidR="00000000" w:rsidDel="00000000" w:rsidP="00000000" w:rsidRDefault="00000000" w:rsidRPr="00000000" w14:paraId="000000EC">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We will not pay for any additional services provided by you that are not specified in the SOW unless agreed by us in writing in accordance with a rate agreed between us subject to a change request as detailed in the SOW. These Conditions shall also apply to the provision of additional services unless agreed otherwise.</w:t>
      </w:r>
    </w:p>
    <w:p w:rsidR="00000000" w:rsidDel="00000000" w:rsidP="00000000" w:rsidRDefault="00000000" w:rsidRPr="00000000" w14:paraId="000000ED">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confirm that you will not increase the Fees to reflect any increase in direct costs due to </w:t>
      </w:r>
      <w:bookmarkStart w:colFirst="0" w:colLast="0" w:name="bookmark=id.dgr2islw8fz2" w:id="0"/>
      <w:bookmarkEnd w:id="0"/>
      <w:r w:rsidDel="00000000" w:rsidR="00000000" w:rsidRPr="00000000">
        <w:rPr>
          <w:rFonts w:ascii="Nirmala UI" w:cs="Nirmala UI" w:eastAsia="Nirmala UI" w:hAnsi="Nirmala UI"/>
          <w:sz w:val="20"/>
          <w:szCs w:val="20"/>
          <w:rtl w:val="0"/>
        </w:rPr>
        <w:t xml:space="preserve">any factor beyond our control (including foreign exchange fluctuations, increases in taxes and duties, and increases in labour, materials and other costs)</w:t>
      </w:r>
      <w:bookmarkStart w:colFirst="0" w:colLast="0" w:name="bookmark=id.bimai0n71us" w:id="1"/>
      <w:bookmarkEnd w:id="1"/>
      <w:r w:rsidDel="00000000" w:rsidR="00000000" w:rsidRPr="00000000">
        <w:rPr>
          <w:rFonts w:ascii="Nirmala UI" w:cs="Nirmala UI" w:eastAsia="Nirmala UI" w:hAnsi="Nirmala UI"/>
          <w:sz w:val="20"/>
          <w:szCs w:val="20"/>
          <w:rtl w:val="0"/>
        </w:rPr>
        <w:t xml:space="preserve"> or any delay caused by any of our instructions in respect of the Services without our prior written agreement.</w:t>
      </w:r>
    </w:p>
    <w:p w:rsidR="00000000" w:rsidDel="00000000" w:rsidP="00000000" w:rsidRDefault="00000000" w:rsidRPr="00000000" w14:paraId="000000EE">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Interest on any sums due to you shall be limited to the rate of 1% over the base rate of the Bank of England from time to time.</w:t>
      </w:r>
    </w:p>
    <w:p w:rsidR="00000000" w:rsidDel="00000000" w:rsidP="00000000" w:rsidRDefault="00000000" w:rsidRPr="00000000" w14:paraId="000000EF">
      <w:pPr>
        <w:widowControl w:val="1"/>
        <w:spacing w:after="160" w:line="259" w:lineRule="auto"/>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Sub-Contracting and assignment</w:t>
      </w:r>
      <w:r w:rsidDel="00000000" w:rsidR="00000000" w:rsidRPr="00000000">
        <w:rPr>
          <w:rtl w:val="0"/>
        </w:rPr>
      </w:r>
    </w:p>
    <w:p w:rsidR="00000000" w:rsidDel="00000000" w:rsidP="00000000" w:rsidRDefault="00000000" w:rsidRPr="00000000" w14:paraId="000000F0">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will not at any time assign, transfer, charge or subcontract any of your rights or obligations under these Conditions without providing us with reasonable notice and subject to our written consent. </w:t>
      </w:r>
    </w:p>
    <w:p w:rsidR="00000000" w:rsidDel="00000000" w:rsidP="00000000" w:rsidRDefault="00000000" w:rsidRPr="00000000" w14:paraId="000000F1">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We may at any time assign, transfer, charge, subcontract or deal in any other manner with all or any of our rights or obligations under these Conditions.</w:t>
      </w:r>
    </w:p>
    <w:p w:rsidR="00000000" w:rsidDel="00000000" w:rsidP="00000000" w:rsidRDefault="00000000" w:rsidRPr="00000000" w14:paraId="000000F2">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Termination</w:t>
      </w:r>
    </w:p>
    <w:p w:rsidR="00000000" w:rsidDel="00000000" w:rsidP="00000000" w:rsidRDefault="00000000" w:rsidRPr="00000000" w14:paraId="000000F3">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We can terminate the provision of the Services immediately if:</w:t>
      </w:r>
    </w:p>
    <w:p w:rsidR="00000000" w:rsidDel="00000000" w:rsidP="00000000" w:rsidRDefault="00000000" w:rsidRPr="00000000" w14:paraId="000000F4">
      <w:pPr>
        <w:numPr>
          <w:ilvl w:val="0"/>
          <w:numId w:val="2"/>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commit a material breach of your obligations under the Contract; </w:t>
      </w:r>
    </w:p>
    <w:p w:rsidR="00000000" w:rsidDel="00000000" w:rsidP="00000000" w:rsidRDefault="00000000" w:rsidRPr="00000000" w14:paraId="000000F5">
      <w:pPr>
        <w:numPr>
          <w:ilvl w:val="0"/>
          <w:numId w:val="2"/>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we receive notice of immediate Termination under the Main Agreement; </w:t>
      </w:r>
    </w:p>
    <w:p w:rsidR="00000000" w:rsidDel="00000000" w:rsidP="00000000" w:rsidRDefault="00000000" w:rsidRPr="00000000" w14:paraId="000000F6">
      <w:pPr>
        <w:numPr>
          <w:ilvl w:val="0"/>
          <w:numId w:val="2"/>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are or become or, in our reasonable opinion, are about to become insolvent or unable to pay your debts as they fall due; </w:t>
      </w:r>
    </w:p>
    <w:p w:rsidR="00000000" w:rsidDel="00000000" w:rsidP="00000000" w:rsidRDefault="00000000" w:rsidRPr="00000000" w14:paraId="000000F7">
      <w:pPr>
        <w:numPr>
          <w:ilvl w:val="0"/>
          <w:numId w:val="2"/>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you suspend, or threaten to suspend, or cease or threaten to cease to carry on all or a substantial part of your business; or</w:t>
      </w:r>
    </w:p>
    <w:p w:rsidR="00000000" w:rsidDel="00000000" w:rsidP="00000000" w:rsidRDefault="00000000" w:rsidRPr="00000000" w14:paraId="000000F8">
      <w:pPr>
        <w:numPr>
          <w:ilvl w:val="0"/>
          <w:numId w:val="2"/>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there is a change of control (as defined in section 1124 of the Corporation Tax Act 2010) in your business.</w:t>
      </w:r>
    </w:p>
    <w:p w:rsidR="00000000" w:rsidDel="00000000" w:rsidP="00000000" w:rsidRDefault="00000000" w:rsidRPr="00000000" w14:paraId="000000F9">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We may terminate this agreement without cause providing you with 90 calendar days’ notice. </w:t>
      </w:r>
    </w:p>
    <w:p w:rsidR="00000000" w:rsidDel="00000000" w:rsidP="00000000" w:rsidRDefault="00000000" w:rsidRPr="00000000" w14:paraId="000000FA">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Liability and indemnity</w:t>
      </w:r>
    </w:p>
    <w:p w:rsidR="00000000" w:rsidDel="00000000" w:rsidP="00000000" w:rsidRDefault="00000000" w:rsidRPr="00000000" w14:paraId="000000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You agree that we, or our Blue Square, shall not be liable for any of the following and indemnify us against all liabilities, costs, expenses, damages and losses (including but not limited to any direct, indirect, special or consequential losses, loss of profit, loss of reputation and all interest, penalties and legal costs (calculated on a full indemnity basis) and all other reasonable professional costs and expenses) suffered or incurred by us arising out of or in connection with:</w:t>
      </w:r>
    </w:p>
    <w:p w:rsidR="00000000" w:rsidDel="00000000" w:rsidP="00000000" w:rsidRDefault="00000000" w:rsidRPr="00000000" w14:paraId="000000F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Your breach or negligent performance or non-performance of this agreement;</w:t>
      </w:r>
    </w:p>
    <w:p w:rsidR="00000000" w:rsidDel="00000000" w:rsidP="00000000" w:rsidRDefault="00000000" w:rsidRPr="00000000" w14:paraId="000000F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Any claims made against us for actual or alleged infringement of a third party’s intellectual property rights arising out of or in connection with your performance of the Services;</w:t>
      </w:r>
    </w:p>
    <w:p w:rsidR="00000000" w:rsidDel="00000000" w:rsidP="00000000" w:rsidRDefault="00000000" w:rsidRPr="00000000" w14:paraId="000000F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Any property loss, damage, personal injury or death, sustained by us, any of our employees or other affiliates; </w:t>
      </w:r>
    </w:p>
    <w:p w:rsidR="00000000" w:rsidDel="00000000" w:rsidP="00000000" w:rsidRDefault="00000000" w:rsidRPr="00000000" w14:paraId="000000F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Any failure to perform any of our obligations if such delay or failure is due to any cause beyond our reasonable control; </w:t>
      </w:r>
    </w:p>
    <w:p w:rsidR="00000000" w:rsidDel="00000000" w:rsidP="00000000" w:rsidRDefault="00000000" w:rsidRPr="00000000" w14:paraId="0000010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Any losses caused directly or indirectly by any failure or your breach in relation to your obligations, covenants, undertakings or promises; </w:t>
      </w:r>
    </w:p>
    <w:p w:rsidR="00000000" w:rsidDel="00000000" w:rsidP="00000000" w:rsidRDefault="00000000" w:rsidRPr="00000000" w14:paraId="0000010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Any loss or damage to any equipment (including that belonging to third parties) caused by you or your agents or employees.</w:t>
      </w:r>
    </w:p>
    <w:p w:rsidR="00000000" w:rsidDel="00000000" w:rsidP="00000000" w:rsidRDefault="00000000" w:rsidRPr="00000000" w14:paraId="00000102">
      <w:pPr>
        <w:ind w:left="720" w:firstLine="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Nothing in these Conditions shall limit or exclude our liability for death or personal injury caused by our negligence or for any fraudulent misrepresentation, or for any other matters for which it would be unlawful to exclude or limit liability.</w:t>
      </w:r>
    </w:p>
    <w:p w:rsidR="00000000" w:rsidDel="00000000" w:rsidP="00000000" w:rsidRDefault="00000000" w:rsidRPr="00000000" w14:paraId="00000103">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Circumstances beyond a party's control</w:t>
      </w:r>
    </w:p>
    <w:p w:rsidR="00000000" w:rsidDel="00000000" w:rsidP="00000000" w:rsidRDefault="00000000" w:rsidRPr="00000000" w14:paraId="00000104">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Neither Party is liable for any failure or delay in performing its obligations where such failure or delay results from any cause that is beyond the reasonable control of that party. Such causes include, but are not limited to: power failure, Internet Service Provider failure, industrial action, civil unrest, fire, flood, storms, earthquakes, acts of terrorism, acts of war, governmental action or any other event that is beyond the control of the party in question. If the delay continues for a period of 60 days, either of us may terminate or cancel the Services to be carried out under these Conditions.</w:t>
      </w:r>
    </w:p>
    <w:p w:rsidR="00000000" w:rsidDel="00000000" w:rsidP="00000000" w:rsidRDefault="00000000" w:rsidRPr="00000000" w14:paraId="00000105">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Communications</w:t>
      </w:r>
    </w:p>
    <w:p w:rsidR="00000000" w:rsidDel="00000000" w:rsidP="00000000" w:rsidRDefault="00000000" w:rsidRPr="00000000" w14:paraId="00000106">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All notices under these Terms and Conditions must be in writing and signed by, or on behalf of, the party giving notice (or a duly authorised officer of that party).</w:t>
      </w:r>
    </w:p>
    <w:p w:rsidR="00000000" w:rsidDel="00000000" w:rsidP="00000000" w:rsidRDefault="00000000" w:rsidRPr="00000000" w14:paraId="00000107">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Notices shall be deemed to have been duly received:</w:t>
      </w:r>
    </w:p>
    <w:p w:rsidR="00000000" w:rsidDel="00000000" w:rsidP="00000000" w:rsidRDefault="00000000" w:rsidRPr="00000000" w14:paraId="00000108">
      <w:pPr>
        <w:numPr>
          <w:ilvl w:val="0"/>
          <w:numId w:val="3"/>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by hand: on receipt of a signature at the time of delivery;</w:t>
      </w:r>
    </w:p>
    <w:p w:rsidR="00000000" w:rsidDel="00000000" w:rsidP="00000000" w:rsidRDefault="00000000" w:rsidRPr="00000000" w14:paraId="00000109">
      <w:pPr>
        <w:numPr>
          <w:ilvl w:val="0"/>
          <w:numId w:val="3"/>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by fax : on receipt of a successful transmission report;</w:t>
      </w:r>
    </w:p>
    <w:p w:rsidR="00000000" w:rsidDel="00000000" w:rsidP="00000000" w:rsidRDefault="00000000" w:rsidRPr="00000000" w14:paraId="0000010A">
      <w:pPr>
        <w:numPr>
          <w:ilvl w:val="0"/>
          <w:numId w:val="3"/>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by email: on receipt of a delivery receipt;</w:t>
      </w:r>
    </w:p>
    <w:p w:rsidR="00000000" w:rsidDel="00000000" w:rsidP="00000000" w:rsidRDefault="00000000" w:rsidRPr="00000000" w14:paraId="0000010B">
      <w:pPr>
        <w:numPr>
          <w:ilvl w:val="0"/>
          <w:numId w:val="3"/>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by post: on the fifth business day following mailing, if mailed by national ordinary mail; or</w:t>
      </w:r>
    </w:p>
    <w:p w:rsidR="00000000" w:rsidDel="00000000" w:rsidP="00000000" w:rsidRDefault="00000000" w:rsidRPr="00000000" w14:paraId="0000010C">
      <w:pPr>
        <w:numPr>
          <w:ilvl w:val="0"/>
          <w:numId w:val="3"/>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by airmail: on the tenth business day following mailing.</w:t>
      </w:r>
    </w:p>
    <w:p w:rsidR="00000000" w:rsidDel="00000000" w:rsidP="00000000" w:rsidRDefault="00000000" w:rsidRPr="00000000" w14:paraId="0000010D">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All notices under these Terms and Conditions must be addressed to the most recent address, email address or fax number notified to the other party.</w:t>
      </w:r>
    </w:p>
    <w:p w:rsidR="00000000" w:rsidDel="00000000" w:rsidP="00000000" w:rsidRDefault="00000000" w:rsidRPr="00000000" w14:paraId="0000010E">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No-waiver</w:t>
      </w:r>
    </w:p>
    <w:p w:rsidR="00000000" w:rsidDel="00000000" w:rsidP="00000000" w:rsidRDefault="00000000" w:rsidRPr="00000000" w14:paraId="0000010F">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No delay, act or omission by a party in exercising any right or remedy will be deemed a waiver of that, or any other, right or remedy nor stop further exercise of any other right, or remedy.</w:t>
      </w:r>
    </w:p>
    <w:p w:rsidR="00000000" w:rsidDel="00000000" w:rsidP="00000000" w:rsidRDefault="00000000" w:rsidRPr="00000000" w14:paraId="00000110">
      <w:pPr>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Severance</w:t>
      </w:r>
    </w:p>
    <w:p w:rsidR="00000000" w:rsidDel="00000000" w:rsidP="00000000" w:rsidRDefault="00000000" w:rsidRPr="00000000" w14:paraId="00000111">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If one or more of these Conditions is found to be unlawful, invalid or otherwise unenforceable, that/those provisions will be deemed severed from the remainder of these Terms and Conditions (which will remain valid and enforceable).</w:t>
      </w:r>
    </w:p>
    <w:p w:rsidR="00000000" w:rsidDel="00000000" w:rsidP="00000000" w:rsidRDefault="00000000" w:rsidRPr="00000000" w14:paraId="00000112">
      <w:pPr>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Set Off</w:t>
      </w:r>
    </w:p>
    <w:p w:rsidR="00000000" w:rsidDel="00000000" w:rsidP="00000000" w:rsidRDefault="00000000" w:rsidRPr="00000000" w14:paraId="000001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Blue Square reserves the right to set off against any liability that it has or may have to you, any sums owed to it by you for any reason. </w:t>
      </w:r>
    </w:p>
    <w:p w:rsidR="00000000" w:rsidDel="00000000" w:rsidP="00000000" w:rsidRDefault="00000000" w:rsidRPr="00000000" w14:paraId="00000114">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Law and jurisdiction</w:t>
      </w:r>
    </w:p>
    <w:p w:rsidR="00000000" w:rsidDel="00000000" w:rsidP="00000000" w:rsidRDefault="00000000" w:rsidRPr="00000000" w14:paraId="00000115">
      <w:pPr>
        <w:numPr>
          <w:ilvl w:val="0"/>
          <w:numId w:val="1"/>
        </w:numPr>
        <w:ind w:left="720" w:hanging="36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These Conditions are governed by and interpreted according to English law, unless otherwise stated herein. All disputes arising under these Conditions are subject to the exclusive jurisdiction of the English courts. </w:t>
      </w:r>
    </w:p>
    <w:p w:rsidR="00000000" w:rsidDel="00000000" w:rsidP="00000000" w:rsidRDefault="00000000" w:rsidRPr="00000000" w14:paraId="00000116">
      <w:pP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Conflicts within the Contract</w:t>
      </w:r>
    </w:p>
    <w:p w:rsidR="00000000" w:rsidDel="00000000" w:rsidP="00000000" w:rsidRDefault="00000000" w:rsidRPr="00000000" w14:paraId="00000117">
      <w:pPr>
        <w:numPr>
          <w:ilvl w:val="0"/>
          <w:numId w:val="1"/>
        </w:numPr>
        <w:ind w:left="720" w:hanging="36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If there is a conflict between the terms contained in the Conditions and the terms of the SOW the terms of the SOW shall prevail. </w:t>
      </w:r>
    </w:p>
    <w:p w:rsidR="00000000" w:rsidDel="00000000" w:rsidP="00000000" w:rsidRDefault="00000000" w:rsidRPr="00000000" w14:paraId="00000118">
      <w:pPr>
        <w:rPr>
          <w:rFonts w:ascii="Nirmala UI" w:cs="Nirmala UI" w:eastAsia="Nirmala UI" w:hAnsi="Nirmala UI"/>
          <w:sz w:val="20"/>
          <w:szCs w:val="20"/>
        </w:rPr>
      </w:pPr>
      <w:r w:rsidDel="00000000" w:rsidR="00000000" w:rsidRPr="00000000">
        <w:rPr>
          <w:rtl w:val="0"/>
        </w:rPr>
      </w:r>
    </w:p>
    <w:p w:rsidR="00000000" w:rsidDel="00000000" w:rsidP="00000000" w:rsidRDefault="00000000" w:rsidRPr="00000000" w14:paraId="00000119">
      <w:pPr>
        <w:rPr>
          <w:rFonts w:ascii="Nirmala UI" w:cs="Nirmala UI" w:eastAsia="Nirmala UI" w:hAnsi="Nirmala UI"/>
          <w:sz w:val="20"/>
          <w:szCs w:val="2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irmala UI Semilight"/>
  <w:font w:name="Nirmala U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tabs>
        <w:tab w:val="center" w:leader="none" w:pos="4513"/>
        <w:tab w:val="right" w:leader="none" w:pos="9026"/>
      </w:tabs>
      <w:spacing w:after="0" w:line="240" w:lineRule="auto"/>
      <w:jc w:val="center"/>
      <w:rPr>
        <w:color w:val="000000"/>
        <w:sz w:val="18"/>
        <w:szCs w:val="18"/>
      </w:rPr>
    </w:pPr>
    <w:r w:rsidDel="00000000" w:rsidR="00000000" w:rsidRPr="00000000">
      <w:rPr>
        <w:color w:val="a6a6a6"/>
        <w:sz w:val="18"/>
        <w:szCs w:val="18"/>
        <w:rtl w:val="0"/>
      </w:rPr>
      <w:t xml:space="preserve">Blue Square Marketing Limited, Statement of Work | Supplier: </w:t>
    </w:r>
    <w:r w:rsidDel="00000000" w:rsidR="00000000" w:rsidRPr="00000000">
      <w:rPr>
        <w:color w:val="000000"/>
        <w:sz w:val="18"/>
        <w:szCs w:val="18"/>
        <w:rtl w:val="0"/>
      </w:rPr>
      <w:t xml:space="preserve">Cyphr</w:t>
    </w:r>
    <w:r w:rsidDel="00000000" w:rsidR="00000000" w:rsidRPr="00000000">
      <w:rPr>
        <w:color w:val="a6a6a6"/>
        <w:sz w:val="18"/>
        <w:szCs w:val="18"/>
        <w:rtl w:val="0"/>
      </w:rPr>
      <w:t xml:space="preserve">| Created</w:t>
    </w:r>
    <w:r w:rsidDel="00000000" w:rsidR="00000000" w:rsidRPr="00000000">
      <w:rPr>
        <w:color w:val="000000"/>
        <w:sz w:val="18"/>
        <w:szCs w:val="18"/>
        <w:rtl w:val="0"/>
      </w:rPr>
      <w:t xml:space="preserve">: 27/01/2026</w:t>
    </w:r>
    <w:r w:rsidDel="00000000" w:rsidR="00000000" w:rsidRPr="00000000">
      <w:rPr>
        <w:color w:val="a6a6a6"/>
        <w:sz w:val="18"/>
        <w:szCs w:val="18"/>
        <w:rtl w:val="0"/>
      </w:rPr>
      <w:t xml:space="preserve">| Version </w:t>
    </w:r>
    <w:r w:rsidDel="00000000" w:rsidR="00000000" w:rsidRPr="00000000">
      <w:rPr>
        <w:color w:val="000000"/>
        <w:sz w:val="18"/>
        <w:szCs w:val="18"/>
        <w:rtl w:val="0"/>
      </w:rPr>
      <w:t xml:space="preserve">1</w:t>
    </w:r>
  </w:p>
  <w:p w:rsidR="00000000" w:rsidDel="00000000" w:rsidP="00000000" w:rsidRDefault="00000000" w:rsidRPr="00000000" w14:paraId="00000124">
    <w:pPr>
      <w:tabs>
        <w:tab w:val="center" w:leader="none" w:pos="4513"/>
        <w:tab w:val="right" w:leader="none" w:pos="9026"/>
      </w:tabs>
      <w:spacing w:after="709"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tbl>
    <w:tblPr>
      <w:tblStyle w:val="Table4"/>
      <w:tblW w:w="9026.000000000002" w:type="dxa"/>
      <w:jc w:val="left"/>
      <w:tblLayout w:type="fixed"/>
      <w:tblLook w:val="0400"/>
    </w:tblPr>
    <w:tblGrid>
      <w:gridCol w:w="5972"/>
      <w:gridCol w:w="1011"/>
      <w:gridCol w:w="2043"/>
      <w:tblGridChange w:id="0">
        <w:tblGrid>
          <w:gridCol w:w="5972"/>
          <w:gridCol w:w="1011"/>
          <w:gridCol w:w="2043"/>
        </w:tblGrid>
      </w:tblGridChange>
    </w:tblGrid>
    <w:tr>
      <w:trPr>
        <w:cantSplit w:val="0"/>
        <w:trHeight w:val="840" w:hRule="atLeast"/>
        <w:tblHeader w:val="0"/>
      </w:trPr>
      <w:tc>
        <w:tcPr/>
        <w:p w:rsidR="00000000" w:rsidDel="00000000" w:rsidP="00000000" w:rsidRDefault="00000000" w:rsidRPr="00000000" w14:paraId="0000011B">
          <w:pPr>
            <w:tabs>
              <w:tab w:val="center" w:leader="none" w:pos="4513"/>
              <w:tab w:val="right" w:leader="none" w:pos="9026"/>
            </w:tabs>
            <w:rPr>
              <w:rFonts w:ascii="Nirmala UI" w:cs="Nirmala UI" w:eastAsia="Nirmala UI" w:hAnsi="Nirmala UI"/>
              <w:sz w:val="24"/>
              <w:szCs w:val="24"/>
            </w:rPr>
          </w:pPr>
          <w:r w:rsidDel="00000000" w:rsidR="00000000" w:rsidRPr="00000000">
            <w:rPr>
              <w:rFonts w:ascii="Nirmala UI" w:cs="Nirmala UI" w:eastAsia="Nirmala UI" w:hAnsi="Nirmala UI"/>
              <w:sz w:val="24"/>
              <w:szCs w:val="24"/>
              <w:rtl w:val="0"/>
            </w:rPr>
            <w:t xml:space="preserve">Statement of Work </w:t>
          </w:r>
        </w:p>
        <w:p w:rsidR="00000000" w:rsidDel="00000000" w:rsidP="00000000" w:rsidRDefault="00000000" w:rsidRPr="00000000" w14:paraId="0000011C">
          <w:pPr>
            <w:tabs>
              <w:tab w:val="center" w:leader="none" w:pos="4513"/>
              <w:tab w:val="right" w:leader="none" w:pos="9026"/>
            </w:tabs>
            <w:rPr>
              <w:b w:val="1"/>
              <w:bCs w:val="1"/>
              <w:color w:val="ff0000"/>
              <w:sz w:val="24"/>
              <w:szCs w:val="24"/>
              <w:vertAlign w:val="superscript"/>
            </w:rPr>
          </w:pPr>
          <w:r w:rsidDel="00000000" w:rsidR="00000000" w:rsidRPr="00000000">
            <w:rPr>
              <w:rFonts w:ascii="Nirmala UI" w:cs="Nirmala UI" w:eastAsia="Nirmala UI" w:hAnsi="Nirmala UI"/>
              <w:color w:val="ff0000"/>
              <w:sz w:val="24"/>
              <w:szCs w:val="24"/>
              <w:vertAlign w:val="superscript"/>
              <w:rtl w:val="0"/>
            </w:rPr>
            <w:t xml:space="preserve">Revision Number 0.00</w:t>
          </w:r>
          <w:r w:rsidDel="00000000" w:rsidR="00000000" w:rsidRPr="00000000">
            <w:rPr>
              <w:rtl w:val="0"/>
            </w:rPr>
          </w:r>
        </w:p>
      </w:tc>
      <w:tc>
        <w:tcPr/>
        <w:p w:rsidR="00000000" w:rsidDel="00000000" w:rsidP="00000000" w:rsidRDefault="00000000" w:rsidRPr="00000000" w14:paraId="0000011D">
          <w:pPr>
            <w:tabs>
              <w:tab w:val="center" w:leader="none" w:pos="4513"/>
              <w:tab w:val="right" w:leader="none" w:pos="9026"/>
            </w:tabs>
            <w:rPr/>
          </w:pPr>
          <w:r w:rsidDel="00000000" w:rsidR="00000000" w:rsidRPr="00000000">
            <w:rPr>
              <w:rtl w:val="0"/>
            </w:rPr>
          </w:r>
        </w:p>
      </w:tc>
      <w:tc>
        <w:tcPr/>
        <w:p w:rsidR="00000000" w:rsidDel="00000000" w:rsidP="00000000" w:rsidRDefault="00000000" w:rsidRPr="00000000" w14:paraId="0000011E">
          <w:pPr>
            <w:tabs>
              <w:tab w:val="center" w:leader="none" w:pos="4513"/>
              <w:tab w:val="right" w:leader="none" w:pos="9026"/>
            </w:tabs>
            <w:spacing w:after="0" w:line="240" w:lineRule="auto"/>
            <w:ind w:firstLine="34"/>
            <w:rPr/>
          </w:pPr>
          <w:r w:rsidDel="00000000" w:rsidR="00000000" w:rsidRPr="00000000">
            <w:rPr/>
            <w:drawing>
              <wp:inline distB="0" distT="0" distL="0" distR="0">
                <wp:extent cx="1151255" cy="203200"/>
                <wp:effectExtent b="0" l="0" r="0" t="0"/>
                <wp:docPr descr="A black background with a black square&#10;&#10;AI-generated content may be incorrect." id="2" name="image1.png"/>
                <a:graphic>
                  <a:graphicData uri="http://schemas.openxmlformats.org/drawingml/2006/picture">
                    <pic:pic>
                      <pic:nvPicPr>
                        <pic:cNvPr descr="A black background with a black square&#10;&#10;AI-generated content may be incorrect." id="0" name="image1.png"/>
                        <pic:cNvPicPr preferRelativeResize="0"/>
                      </pic:nvPicPr>
                      <pic:blipFill>
                        <a:blip r:embed="rId1"/>
                        <a:srcRect b="0" l="0" r="0" t="0"/>
                        <a:stretch>
                          <a:fillRect/>
                        </a:stretch>
                      </pic:blipFill>
                      <pic:spPr>
                        <a:xfrm>
                          <a:off x="0" y="0"/>
                          <a:ext cx="1151255"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tabs>
              <w:tab w:val="center" w:leader="none" w:pos="4513"/>
              <w:tab w:val="right" w:leader="none" w:pos="9026"/>
            </w:tabs>
            <w:ind w:firstLine="34"/>
            <w:rPr/>
          </w:pPr>
          <w:r w:rsidDel="00000000" w:rsidR="00000000" w:rsidRPr="00000000">
            <w:rPr>
              <w:rtl w:val="0"/>
            </w:rPr>
          </w:r>
        </w:p>
      </w:tc>
    </w:tr>
  </w:tbl>
  <w:p w:rsidR="00000000" w:rsidDel="00000000" w:rsidP="00000000" w:rsidRDefault="00000000" w:rsidRPr="00000000" w14:paraId="00000120">
    <w:pPr>
      <w:tabs>
        <w:tab w:val="center" w:leader="none" w:pos="4513"/>
        <w:tab w:val="right" w:leader="none" w:pos="9026"/>
      </w:tabs>
      <w:spacing w:after="0"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2860</wp:posOffset>
              </wp:positionH>
              <wp:positionV relativeFrom="paragraph">
                <wp:posOffset>39053</wp:posOffset>
              </wp:positionV>
              <wp:extent cx="5579745" cy="22225"/>
              <wp:effectExtent b="0" l="0" r="0" t="0"/>
              <wp:wrapNone/>
              <wp:docPr id="1" name=""/>
              <a:graphic>
                <a:graphicData uri="http://schemas.microsoft.com/office/word/2010/wordprocessingShape">
                  <wps:wsp>
                    <wps:cNvCnPr/>
                    <wps:spPr>
                      <a:xfrm>
                        <a:off x="2560890" y="3780000"/>
                        <a:ext cx="5570220" cy="0"/>
                      </a:xfrm>
                      <a:prstGeom prst="straightConnector1">
                        <a:avLst/>
                      </a:prstGeom>
                      <a:noFill/>
                      <a:ln cap="flat" cmpd="sng" w="9525">
                        <a:solidFill>
                          <a:srgbClr val="D8D8D8"/>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2860</wp:posOffset>
              </wp:positionH>
              <wp:positionV relativeFrom="paragraph">
                <wp:posOffset>39053</wp:posOffset>
              </wp:positionV>
              <wp:extent cx="5579745" cy="22225"/>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579745" cy="222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firstLine="0"/>
      </w:pPr>
      <w:rPr/>
    </w:lvl>
    <w:lvl w:ilvl="1">
      <w:start w:val="1"/>
      <w:numFmt w:val="lowerLetter"/>
      <w:lvlText w:val="%2."/>
      <w:lvlJc w:val="left"/>
      <w:pPr>
        <w:ind w:left="1080" w:firstLine="720"/>
      </w:pPr>
      <w:rPr/>
    </w:lvl>
    <w:lvl w:ilvl="2">
      <w:start w:val="1"/>
      <w:numFmt w:val="lowerRoman"/>
      <w:lvlText w:val="%3."/>
      <w:lvlJc w:val="right"/>
      <w:pPr>
        <w:ind w:left="1800" w:firstLine="1620"/>
      </w:pPr>
      <w:rPr/>
    </w:lvl>
    <w:lvl w:ilvl="3">
      <w:start w:val="1"/>
      <w:numFmt w:val="decimal"/>
      <w:lvlText w:val="%4."/>
      <w:lvlJc w:val="left"/>
      <w:pPr>
        <w:ind w:left="2520" w:firstLine="2160"/>
      </w:pPr>
      <w:rPr/>
    </w:lvl>
    <w:lvl w:ilvl="4">
      <w:start w:val="1"/>
      <w:numFmt w:val="lowerLetter"/>
      <w:lvlText w:val="%5."/>
      <w:lvlJc w:val="left"/>
      <w:pPr>
        <w:ind w:left="3240" w:firstLine="2880"/>
      </w:pPr>
      <w:rPr/>
    </w:lvl>
    <w:lvl w:ilvl="5">
      <w:start w:val="1"/>
      <w:numFmt w:val="lowerRoman"/>
      <w:lvlText w:val="%6."/>
      <w:lvlJc w:val="right"/>
      <w:pPr>
        <w:ind w:left="3960" w:firstLine="3780"/>
      </w:pPr>
      <w:rPr/>
    </w:lvl>
    <w:lvl w:ilvl="6">
      <w:start w:val="1"/>
      <w:numFmt w:val="decimal"/>
      <w:lvlText w:val="%7."/>
      <w:lvlJc w:val="left"/>
      <w:pPr>
        <w:ind w:left="4680" w:firstLine="4320"/>
      </w:pPr>
      <w:rPr/>
    </w:lvl>
    <w:lvl w:ilvl="7">
      <w:start w:val="1"/>
      <w:numFmt w:val="lowerLetter"/>
      <w:lvlText w:val="%8."/>
      <w:lvlJc w:val="left"/>
      <w:pPr>
        <w:ind w:left="5400" w:firstLine="5040"/>
      </w:pPr>
      <w:rPr/>
    </w:lvl>
    <w:lvl w:ilvl="8">
      <w:start w:val="1"/>
      <w:numFmt w:val="lowerRoman"/>
      <w:lvlText w:val="%9."/>
      <w:lvlJc w:val="right"/>
      <w:pPr>
        <w:ind w:left="6120" w:firstLine="5940"/>
      </w:pPr>
      <w:rPr/>
    </w:lvl>
  </w:abstractNum>
  <w:abstractNum w:abstractNumId="6">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3."/>
      <w:lvlJc w:val="right"/>
      <w:pPr>
        <w:ind w:left="2160" w:firstLine="1980"/>
      </w:pPr>
      <w:rPr/>
    </w:lvl>
    <w:lvl w:ilvl="3">
      <w:start w:val="1"/>
      <w:numFmt w:val="decimal"/>
      <w:lvlText w:val="%4."/>
      <w:lvlJc w:val="left"/>
      <w:pPr>
        <w:ind w:left="2880" w:firstLine="2520"/>
      </w:pPr>
      <w:rPr/>
    </w:lvl>
    <w:lvl w:ilvl="4">
      <w:start w:val="1"/>
      <w:numFmt w:val="lowerLetter"/>
      <w:lvlText w:val="%5."/>
      <w:lvlJc w:val="left"/>
      <w:pPr>
        <w:ind w:left="3600" w:firstLine="3240"/>
      </w:pPr>
      <w:rPr/>
    </w:lvl>
    <w:lvl w:ilvl="5">
      <w:start w:val="1"/>
      <w:numFmt w:val="lowerRoman"/>
      <w:lvlText w:val="%6."/>
      <w:lvlJc w:val="right"/>
      <w:pPr>
        <w:ind w:left="4320" w:firstLine="4140"/>
      </w:pPr>
      <w:rPr/>
    </w:lvl>
    <w:lvl w:ilvl="6">
      <w:start w:val="1"/>
      <w:numFmt w:val="decimal"/>
      <w:lvlText w:val="%7."/>
      <w:lvlJc w:val="left"/>
      <w:pPr>
        <w:ind w:left="5040" w:firstLine="4680"/>
      </w:pPr>
      <w:rPr/>
    </w:lvl>
    <w:lvl w:ilvl="7">
      <w:start w:val="1"/>
      <w:numFmt w:val="lowerLetter"/>
      <w:lvlText w:val="%8."/>
      <w:lvlJc w:val="left"/>
      <w:pPr>
        <w:ind w:left="5760" w:firstLine="5400"/>
      </w:pPr>
      <w:rPr/>
    </w:lvl>
    <w:lvl w:ilvl="8">
      <w:start w:val="1"/>
      <w:numFmt w:val="lowerRoman"/>
      <w:lvlText w:val="%9."/>
      <w:lvlJc w:val="right"/>
      <w:pPr>
        <w:ind w:left="6480" w:firstLine="63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harlotte.cavanagh@wearebluesquare.com"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YuDccZIT2QCs0TbfbHip5SRbXQ==">CgMxLjAyD2lkLmRncjJpc2x3OGZ6MjIOaWQuYmltYWkwbjcxdXM4AHIhMUNTU29teXJoOHpNSG41UVpJaXg1c1QwQTVTN2t4MTBh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0x0101008DF06FB27702474B96235BB41A50B7DA</vt:lpwstr>
  </property>
  <property fmtid="{D5CDD505-2E9C-101B-9397-08002B2CF9AE}" pid="3" name="ItemID">
    <vt:lpwstr>3075233</vt:lpwstr>
  </property>
  <property fmtid="{D5CDD505-2E9C-101B-9397-08002B2CF9AE}" pid="4" name="MediaServiceImageTags">
    <vt:lpwstr>MediaServiceImageTags</vt:lpwstr>
  </property>
  <property fmtid="{D5CDD505-2E9C-101B-9397-08002B2CF9AE}" pid="5" name="Order">
    <vt:lpwstr>2679800</vt:lpwstr>
  </property>
  <property fmtid="{D5CDD505-2E9C-101B-9397-08002B2CF9AE}" pid="6" name="xd_Signature">
    <vt:lpwstr>false</vt:lpwstr>
  </property>
  <property fmtid="{D5CDD505-2E9C-101B-9397-08002B2CF9AE}" pid="7" name="xd_ProgID">
    <vt:lpwstr>xd_ProgID</vt:lpwstr>
  </property>
  <property fmtid="{D5CDD505-2E9C-101B-9397-08002B2CF9AE}" pid="8" name="ComplianceAssetId">
    <vt:lpwstr>ComplianceAssetId</vt:lpwstr>
  </property>
  <property fmtid="{D5CDD505-2E9C-101B-9397-08002B2CF9AE}" pid="9" name="TemplateUrl">
    <vt:lpwstr>TemplateUrl</vt:lpwstr>
  </property>
  <property fmtid="{D5CDD505-2E9C-101B-9397-08002B2CF9AE}" pid="10" name="_ExtendedDescription">
    <vt:lpwstr>_ExtendedDescription</vt:lpwstr>
  </property>
  <property fmtid="{D5CDD505-2E9C-101B-9397-08002B2CF9AE}" pid="11" name="TriggerFlowInfo">
    <vt:lpwstr>TriggerFlowInfo</vt:lpwstr>
  </property>
</Properties>
</file>