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55555"/>
          <w:sz w:val="20"/>
          <w:szCs w:val="20"/>
        </w:rPr>
        <w:t xml:space="preserve">NexAfrica Data Analysis Internship</w:t>
      </w:r>
    </w:p>
    <w:p>
      <w:pPr>
        <w:spacing w:after="40"/>
      </w:pPr>
      <w:r>
        <w:rPr>
          <w:b/>
          <w:bCs/>
          <w:sz w:val="32"/>
          <w:szCs w:val="32"/>
        </w:rPr>
        <w:t xml:space="preserve">Week 4: Cohort &amp; Advanced Business Analysis</w:t>
      </w:r>
    </w:p>
    <w:p>
      <w:pPr>
        <w:spacing w:after="260"/>
      </w:pPr>
      <w:r>
        <w:rPr>
          <w:i/>
          <w:iCs/>
          <w:color w:val="555555"/>
          <w:sz w:val="22"/>
          <w:szCs w:val="22"/>
        </w:rPr>
        <w:t xml:space="preserve">Retail Sales Analytics Dashboard — Superstore Dataset</w:t>
      </w:r>
    </w:p>
    <w:p>
      <w:pPr>
        <w:pStyle w:val="Heading1"/>
        <w:spacing w:after="120" w:before="260"/>
      </w:pPr>
      <w:r>
        <w:t xml:space="preserve">Part A — Cohort Analysis</w:t>
      </w:r>
    </w:p>
    <w:p>
      <w:pPr>
        <w:spacing w:after="110"/>
      </w:pPr>
      <w:r>
        <w:t xml:space="preserve">1. How many new customers joined each month? September 2014 recorded the most new customers of any cohort month, with 68 first-time buyers.</w:t>
      </w:r>
    </w:p>
    <w:p>
      <w:pPr>
        <w:spacing w:after="110"/>
      </w:pPr>
      <w:r>
        <w:t xml:space="preserve">2. Which cohort generated the most revenue? The March 2014 cohort generated the most total revenue ($221,986), narrowly ahead of September 2014 ($208,100). Note that the month with the most new customers is not the same as the month whose customers went on to spend the most — a useful distinction between acquisition volume and acquisition value.</w:t>
      </w:r>
    </w:p>
    <w:p>
      <w:pPr>
        <w:spacing w:after="110"/>
      </w:pPr>
      <w:r>
        <w:t xml:space="preserve">3. Which cohorts show stronger repeat purchasing behavior? Retention is low and fairly consistent across cohorts rather than concentrated in a few strong ones — no single cohort stands out as dramatically more loyal than the others.</w:t>
      </w:r>
    </w:p>
    <w:p>
      <w:pPr>
        <w:spacing w:after="110"/>
      </w:pPr>
      <w:r>
        <w:t xml:space="preserve">4. How does customer activity change after the first purchase? Averaged across all cohorts, only 12.1% of customers return to purchase again in the month immediately following their first order. This recovers slightly to 16-19% by months 2-6, but never returns to anywhere near the initial purchase level. The sharp drop-off between month 0 and month 1 is the clearest pattern in the data.</w:t>
      </w:r>
    </w:p>
    <w:p>
      <w:pPr>
        <w:pStyle w:val="Heading1"/>
        <w:spacing w:after="120" w:before="260"/>
      </w:pPr>
      <w:r>
        <w:t xml:space="preserve">Part B — Discount Analysis</w:t>
      </w:r>
    </w:p>
    <w:p>
      <w:pPr>
        <w:spacing w:after="110"/>
      </w:pPr>
      <w:r>
        <w:t xml:space="preserve">1. Which products receive the highest discounts? The Eureka Disposable Bags for Sanitaire Vibra Groomer I Upright Vac carries the highest average discount in the dataset, at 80%.</w:t>
      </w:r>
    </w:p>
    <w:p>
      <w:pPr>
        <w:spacing w:after="110"/>
      </w:pPr>
      <w:r>
        <w:t xml:space="preserve">2. Does higher discounting increase sales? No. Average quantity sold per line item is essentially flat across every discount band: 3.81 units at 0% discount, 3.91 units at 1-15%, down to 3.88 units above 35% discount. Deeper discounts are not producing larger basket sizes.</w:t>
      </w:r>
    </w:p>
    <w:p>
      <w:pPr>
        <w:spacing w:after="110"/>
      </w:pPr>
      <w:r>
        <w:t xml:space="preserve">3. Does higher discounting reduce profit? Yes, sharply. Profit margin falls from 29.5% with no discount to -50.0% for line items discounted above 35%. This is a direct, almost linear erosion of margin as discount level increases.</w:t>
      </w:r>
    </w:p>
    <w:p>
      <w:pPr>
        <w:spacing w:after="110"/>
      </w:pPr>
      <w:r>
        <w:t xml:space="preserve">4. Which categories are most affected? Furniture carries the highest average discount of the three categories, followed by Office Supplies and then Technology. This lines up with Week 3's finding that Furniture is the weakest-performing category by profit margin — the heavier discounting on Furniture appears to be an attempted fix for weak performance, but the data shows it has not worked: discounting has not improved Furniture's results and has likely made its margin problem worse.</w:t>
      </w:r>
    </w:p>
    <w:p>
      <w:pPr>
        <w:pStyle w:val="Heading1"/>
        <w:spacing w:after="120" w:before="260"/>
      </w:pPr>
      <w:r>
        <w:t xml:space="preserve">Part C — Profitability Analysis</w:t>
      </w:r>
    </w:p>
    <w:p>
      <w:pPr>
        <w:spacing w:after="110"/>
      </w:pPr>
      <w:r>
        <w:t xml:space="preserve">Sub-categories were classified into four quadrants based on total sales and total profit relative to the group average. Copiers remain the strongest performer on both sales and profit, consistent with the product-level finding in Week 3 that the top-selling product overall is a copier. Bookcases trail on both measures, reinforcing Week 3's finding that Furniture sub-categories (particularly Tables and Bookcases) are the business's clearest structural weak point.</w:t>
      </w:r>
    </w:p>
    <w:p>
      <w:pPr>
        <w:pStyle w:val="Heading1"/>
        <w:spacing w:after="120" w:before="260"/>
      </w:pPr>
      <w:r>
        <w:t xml:space="preserve">Customer Retention Insights</w:t>
      </w:r>
    </w:p>
    <w:p>
      <w:pPr>
        <w:pStyle w:val="ListParagraph"/>
        <w:numPr>
          <w:ilvl w:val="0"/>
          <w:numId w:val="1"/>
        </w:numPr>
        <w:spacing w:after="70"/>
      </w:pPr>
      <w:r>
        <w:t xml:space="preserve">Customer retention is a first-month problem, not a gradual decline: the steepest drop happens immediately after the first purchase (100% to 12.1%), not over a slow multi-month fade.</w:t>
      </w:r>
    </w:p>
    <w:p>
      <w:pPr>
        <w:pStyle w:val="ListParagraph"/>
        <w:numPr>
          <w:ilvl w:val="0"/>
          <w:numId w:val="1"/>
        </w:numPr>
        <w:spacing w:after="70"/>
      </w:pPr>
      <w:r>
        <w:t xml:space="preserve">Retention partially recovers and then plateaus around 15-19% from month 2 onward, suggesting that customers who return once are somewhat more likely to keep returning — the hardest conversion is the first repeat purchase.</w:t>
      </w:r>
    </w:p>
    <w:p>
      <w:pPr>
        <w:pStyle w:val="ListParagraph"/>
        <w:numPr>
          <w:ilvl w:val="0"/>
          <w:numId w:val="1"/>
        </w:numPr>
        <w:spacing w:after="70"/>
      </w:pPr>
      <w:r>
        <w:t xml:space="preserve">No cohort shows meaningfully stronger loyalty than another, which suggests the retention problem is structural (e.g. purchase frequency naturally being low for this kind of retail) rather than caused by a specific bad month, campaign, or onboarding period.</w:t>
      </w:r>
    </w:p>
    <w:p>
      <w:pPr>
        <w:pStyle w:val="Heading1"/>
        <w:spacing w:after="120" w:before="260"/>
      </w:pPr>
      <w:r>
        <w:t xml:space="preserve">Key Business Findings</w:t>
      </w:r>
    </w:p>
    <w:p>
      <w:pPr>
        <w:pStyle w:val="ListParagraph"/>
        <w:numPr>
          <w:ilvl w:val="0"/>
          <w:numId w:val="2"/>
        </w:numPr>
        <w:spacing w:after="90"/>
      </w:pPr>
      <w:r>
        <w:t xml:space="preserve">Acquisition volume and acquisition value are not the same thing: September 2014 brought in the most new customers, but March 2014's cohort generated more total revenue — a business chasing 'most signups' alone would be optimizing for the wrong month.</w:t>
      </w:r>
    </w:p>
    <w:p>
      <w:pPr>
        <w:pStyle w:val="ListParagraph"/>
        <w:numPr>
          <w:ilvl w:val="0"/>
          <w:numId w:val="2"/>
        </w:numPr>
        <w:spacing w:after="90"/>
      </w:pPr>
      <w:r>
        <w:t xml:space="preserve">The first post-purchase month is the biggest retention cliff: only 12.1% of customers return in month 1, compared to 16-19% in later months. Retention efforts are likely best concentrated in that early window.</w:t>
      </w:r>
    </w:p>
    <w:p>
      <w:pPr>
        <w:pStyle w:val="ListParagraph"/>
        <w:numPr>
          <w:ilvl w:val="0"/>
          <w:numId w:val="2"/>
        </w:numPr>
        <w:spacing w:after="90"/>
      </w:pPr>
      <w:r>
        <w:t xml:space="preserve">Discounting has not increased sales volume at any level: average quantity per line item stays within a narrow 3.81-3.91 unit range across every discount band, from 0% to over 35%.</w:t>
      </w:r>
    </w:p>
    <w:p>
      <w:pPr>
        <w:pStyle w:val="ListParagraph"/>
        <w:numPr>
          <w:ilvl w:val="0"/>
          <w:numId w:val="2"/>
        </w:numPr>
        <w:spacing w:after="90"/>
      </w:pPr>
      <w:r>
        <w:t xml:space="preserve">Discounting has a clear, severe cost to profit: margin moves from +29.5% with no discount to -50.0% above 35% discount, a swing of nearly 80 percentage points.</w:t>
      </w:r>
    </w:p>
    <w:p>
      <w:pPr>
        <w:pStyle w:val="ListParagraph"/>
        <w:numPr>
          <w:ilvl w:val="0"/>
          <w:numId w:val="2"/>
        </w:numPr>
        <w:spacing w:after="90"/>
      </w:pPr>
      <w:r>
        <w:t xml:space="preserve">Furniture's heavy discounting appears to be a reaction to its weak performance, but has not solved the problem: it remains the highest-discounted category and was already identified in Week 3 as the weakest category by profit margin, suggesting the discounting strategy itself needs to be reconsidered rather than deepened.</w:t>
      </w:r>
    </w:p>
    <w:p>
      <w:pPr>
        <w:pStyle w:val="ListParagraph"/>
        <w:numPr>
          <w:ilvl w:val="0"/>
          <w:numId w:val="2"/>
        </w:numPr>
        <w:spacing w:after="90"/>
      </w:pPr>
      <w:r>
        <w:t xml:space="preserve">Profitability patterns are consistent across two independent analyses: Copiers lead and Bookcases trail in both the Week 3 product-level view and the Week 4 sub-category quadrant view, giving confidence that these are genuine, stable patterns rather than one-off results.</w:t>
      </w:r>
    </w:p>
    <w:p>
      <w:pPr>
        <w:pStyle w:val="Heading1"/>
        <w:spacing w:after="120" w:before="260"/>
      </w:pPr>
      <w:r>
        <w:t xml:space="preserve">Recommendations</w:t>
      </w:r>
    </w:p>
    <w:p>
      <w:pPr>
        <w:pStyle w:val="ListParagraph"/>
        <w:numPr>
          <w:ilvl w:val="0"/>
          <w:numId w:val="2"/>
        </w:numPr>
        <w:spacing w:after="90"/>
      </w:pPr>
      <w:r>
        <w:t xml:space="preserve">Build a first-30-days re-engagement trigger (email, follow-up offer, or check-in) aimed specifically at the post-first-purchase window, since this is where the sharpest customer drop-off occurs.</w:t>
      </w:r>
    </w:p>
    <w:p>
      <w:pPr>
        <w:pStyle w:val="ListParagraph"/>
        <w:numPr>
          <w:ilvl w:val="0"/>
          <w:numId w:val="2"/>
        </w:numPr>
        <w:spacing w:after="90"/>
      </w:pPr>
      <w:r>
        <w:t xml:space="preserve">Freeze or reduce the discount ceiling on Furniture, especially Tables and Bookcases, since current discount levels have not improved performance and are actively eroding margin.</w:t>
      </w:r>
    </w:p>
    <w:p>
      <w:pPr>
        <w:pStyle w:val="ListParagraph"/>
        <w:numPr>
          <w:ilvl w:val="0"/>
          <w:numId w:val="2"/>
        </w:numPr>
        <w:spacing w:after="90"/>
      </w:pPr>
      <w:r>
        <w:t xml:space="preserve">Set a firm discount cap around 20-25% business-wide, since margin turns negative beyond that point with no offsetting increase in units sold.</w:t>
      </w:r>
    </w:p>
    <w:p>
      <w:pPr>
        <w:pStyle w:val="ListParagraph"/>
        <w:numPr>
          <w:ilvl w:val="0"/>
          <w:numId w:val="2"/>
        </w:numPr>
        <w:spacing w:after="90"/>
      </w:pPr>
      <w:r>
        <w:t xml:space="preserve">Treat March and September 2014-style cohorts as separate playbooks: investigate what drove March's higher per-customer spend and consider whether that approach (e.g. channel, promotion, or product mix at the time) can be replicated, rather than optimizing purely for new customer count.</w:t>
      </w:r>
    </w:p>
    <w:p>
      <w:pPr>
        <w:pStyle w:val="ListParagraph"/>
        <w:numPr>
          <w:ilvl w:val="0"/>
          <w:numId w:val="2"/>
        </w:numPr>
        <w:spacing w:after="90"/>
      </w:pPr>
      <w:r>
        <w:t xml:space="preserve">Prioritize Copiers and similar high-sales/high-profit sub-categories for continued investment (marketing, inventory priority), while treating Bookcases and Tables as candidates for pricing review or portfolio reduction.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2026-10-01T20:01:25.667Z</dcterms:created>
  <dcterms:modified xsi:type="dcterms:W3CDTF">2026-10-01T20:01:25.673Z</dcterms:modified>
</cp:coreProperties>
</file>

<file path=docProps/custom.xml><?xml version="1.0" encoding="utf-8"?>
<Properties xmlns="http://schemas.openxmlformats.org/officeDocument/2006/custom-properties" xmlns:vt="http://schemas.openxmlformats.org/officeDocument/2006/docPropsVTypes"/>
</file>