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9770" w14:textId="77777777" w:rsidR="00D324AC" w:rsidRDefault="00000000">
      <w:pPr>
        <w:spacing w:after="40"/>
      </w:pPr>
      <w:r>
        <w:rPr>
          <w:b/>
          <w:color w:val="6B7A72"/>
          <w:sz w:val="16"/>
        </w:rPr>
        <w:t>LENDERMATCH™  ·  CHANGE REQUEST</w:t>
      </w:r>
    </w:p>
    <w:p w14:paraId="570F7535" w14:textId="77777777" w:rsidR="00D324AC" w:rsidRDefault="00000000">
      <w:pPr>
        <w:spacing w:after="80"/>
      </w:pPr>
      <w:r>
        <w:rPr>
          <w:rFonts w:ascii="Georgia" w:hAnsi="Georgia"/>
          <w:b/>
          <w:sz w:val="48"/>
        </w:rPr>
        <w:t>Round 4 — New Platform Additions</w:t>
      </w:r>
    </w:p>
    <w:p w14:paraId="07106413" w14:textId="77777777" w:rsidR="00D324AC" w:rsidRDefault="00000000">
      <w:pPr>
        <w:spacing w:after="240"/>
      </w:pPr>
      <w:r>
        <w:rPr>
          <w:color w:val="6B7A72"/>
          <w:sz w:val="20"/>
        </w:rPr>
        <w:t>React + Supabase implementation  ·  August 2026  ·  Confidential</w:t>
      </w:r>
    </w:p>
    <w:tbl>
      <w:tblPr>
        <w:tblStyle w:val="Tablaconcuadrcula"/>
        <w:tblW w:w="0" w:type="auto"/>
        <w:tblLook w:val="04A0" w:firstRow="1" w:lastRow="0" w:firstColumn="1" w:lastColumn="0" w:noHBand="0" w:noVBand="1"/>
      </w:tblPr>
      <w:tblGrid>
        <w:gridCol w:w="9216"/>
      </w:tblGrid>
      <w:tr w:rsidR="00D324AC" w14:paraId="2C1DB8F5" w14:textId="77777777">
        <w:tc>
          <w:tcPr>
            <w:tcW w:w="9216" w:type="dxa"/>
            <w:shd w:val="clear" w:color="auto" w:fill="E2ECE5"/>
          </w:tcPr>
          <w:p w14:paraId="1ADBDD02" w14:textId="77777777" w:rsidR="00D324AC" w:rsidRDefault="00000000">
            <w:pPr>
              <w:spacing w:after="40"/>
            </w:pPr>
            <w:r>
              <w:rPr>
                <w:b/>
                <w:color w:val="2E6A4E"/>
                <w:sz w:val="20"/>
              </w:rPr>
              <w:t>Draft for review — not yet approved</w:t>
            </w:r>
          </w:p>
          <w:p w14:paraId="7FBA60BA" w14:textId="77777777" w:rsidR="00D324AC" w:rsidRDefault="00000000">
            <w:pPr>
              <w:spacing w:after="0"/>
            </w:pPr>
            <w:r>
              <w:rPr>
                <w:sz w:val="19"/>
              </w:rPr>
              <w:t>This proposal covers the requests sent on 4, 17 and 18 August 2026, including the document requirements attachment. Estimates are firm hours for the scope listed, with QA and testing included, and are built on the platform as delivered and currently live.</w:t>
            </w:r>
          </w:p>
        </w:tc>
      </w:tr>
    </w:tbl>
    <w:p w14:paraId="0B4D4C60" w14:textId="77777777" w:rsidR="00D324AC" w:rsidRDefault="00D324AC">
      <w:pPr>
        <w:spacing w:after="40"/>
      </w:pPr>
    </w:p>
    <w:p w14:paraId="2F77A949" w14:textId="77777777" w:rsidR="00D324AC" w:rsidRDefault="00000000">
      <w:pPr>
        <w:spacing w:before="400" w:after="160"/>
      </w:pPr>
      <w:r>
        <w:rPr>
          <w:rFonts w:ascii="Georgia" w:hAnsi="Georgia"/>
          <w:b/>
          <w:color w:val="2E6A4E"/>
          <w:sz w:val="34"/>
        </w:rPr>
        <w:t>1.  Executive summary</w:t>
      </w:r>
    </w:p>
    <w:p w14:paraId="1CA62805" w14:textId="77777777" w:rsidR="00D324AC" w:rsidRDefault="00000000">
      <w:pPr>
        <w:spacing w:before="280"/>
      </w:pPr>
      <w:r>
        <w:rPr>
          <w:rFonts w:ascii="Georgia" w:hAnsi="Georgia"/>
          <w:b/>
          <w:sz w:val="25"/>
        </w:rPr>
        <w:t>1.1  Estimate</w:t>
      </w:r>
    </w:p>
    <w:p w14:paraId="2D59FAC5" w14:textId="77777777" w:rsidR="00D324AC" w:rsidRDefault="00000000">
      <w:r>
        <w:t>Twenty-six requested items, sized against the delivered platform and organised into five delivery phases. Round 3 was 64 hours; this round covers considerably more ground, adding four new pieces of the platform — rental-income qualification, the document-requirements engine, AI-generated lender notes and sales tax on invoicing — alongside roughly twenty-five field, label and filter changes.</w:t>
      </w:r>
    </w:p>
    <w:tbl>
      <w:tblPr>
        <w:tblStyle w:val="Tablaconcuadrcula"/>
        <w:tblW w:w="0" w:type="auto"/>
        <w:tblLayout w:type="fixed"/>
        <w:tblLook w:val="04A0" w:firstRow="1" w:lastRow="0" w:firstColumn="1" w:lastColumn="0" w:noHBand="0" w:noVBand="1"/>
      </w:tblPr>
      <w:tblGrid>
        <w:gridCol w:w="1440"/>
        <w:gridCol w:w="6336"/>
        <w:gridCol w:w="1440"/>
      </w:tblGrid>
      <w:tr w:rsidR="00D324AC" w14:paraId="43658016" w14:textId="77777777">
        <w:tc>
          <w:tcPr>
            <w:tcW w:w="1440" w:type="dxa"/>
            <w:shd w:val="clear" w:color="auto" w:fill="ECEEE8"/>
          </w:tcPr>
          <w:p w14:paraId="6FF61ED2" w14:textId="77777777" w:rsidR="00D324AC" w:rsidRDefault="00000000">
            <w:pPr>
              <w:spacing w:after="40"/>
            </w:pPr>
            <w:r>
              <w:rPr>
                <w:b/>
                <w:color w:val="6B7A72"/>
                <w:sz w:val="17"/>
              </w:rPr>
              <w:t>Phase</w:t>
            </w:r>
          </w:p>
        </w:tc>
        <w:tc>
          <w:tcPr>
            <w:tcW w:w="6336" w:type="dxa"/>
            <w:shd w:val="clear" w:color="auto" w:fill="ECEEE8"/>
          </w:tcPr>
          <w:p w14:paraId="50095486" w14:textId="77777777" w:rsidR="00D324AC" w:rsidRDefault="00000000">
            <w:pPr>
              <w:spacing w:after="40"/>
            </w:pPr>
            <w:r>
              <w:rPr>
                <w:b/>
                <w:color w:val="6B7A72"/>
                <w:sz w:val="17"/>
              </w:rPr>
              <w:t>Focus</w:t>
            </w:r>
          </w:p>
        </w:tc>
        <w:tc>
          <w:tcPr>
            <w:tcW w:w="1440" w:type="dxa"/>
            <w:shd w:val="clear" w:color="auto" w:fill="ECEEE8"/>
          </w:tcPr>
          <w:p w14:paraId="10FC8ACC" w14:textId="77777777" w:rsidR="00D324AC" w:rsidRDefault="00000000">
            <w:pPr>
              <w:spacing w:after="40"/>
              <w:jc w:val="right"/>
            </w:pPr>
            <w:r>
              <w:rPr>
                <w:b/>
                <w:color w:val="6B7A72"/>
                <w:sz w:val="17"/>
              </w:rPr>
              <w:t>Hours</w:t>
            </w:r>
          </w:p>
        </w:tc>
      </w:tr>
      <w:tr w:rsidR="00D324AC" w14:paraId="37FE53D2" w14:textId="77777777">
        <w:tc>
          <w:tcPr>
            <w:tcW w:w="1440" w:type="dxa"/>
          </w:tcPr>
          <w:p w14:paraId="27EFACE0" w14:textId="77777777" w:rsidR="00D324AC" w:rsidRDefault="00000000">
            <w:pPr>
              <w:spacing w:after="0"/>
            </w:pPr>
            <w:r>
              <w:rPr>
                <w:sz w:val="20"/>
              </w:rPr>
              <w:t>Phase 1</w:t>
            </w:r>
          </w:p>
        </w:tc>
        <w:tc>
          <w:tcPr>
            <w:tcW w:w="6336" w:type="dxa"/>
          </w:tcPr>
          <w:p w14:paraId="30C7E1E5" w14:textId="77777777" w:rsidR="00D324AC" w:rsidRDefault="00000000">
            <w:pPr>
              <w:spacing w:after="0"/>
            </w:pPr>
            <w:r>
              <w:rPr>
                <w:sz w:val="20"/>
              </w:rPr>
              <w:t>Create Deal fields, labels and lender filters</w:t>
            </w:r>
          </w:p>
        </w:tc>
        <w:tc>
          <w:tcPr>
            <w:tcW w:w="1440" w:type="dxa"/>
          </w:tcPr>
          <w:p w14:paraId="7F31E3D5" w14:textId="77777777" w:rsidR="00D324AC" w:rsidRDefault="00000000">
            <w:pPr>
              <w:spacing w:after="0"/>
              <w:jc w:val="right"/>
            </w:pPr>
            <w:r>
              <w:rPr>
                <w:sz w:val="20"/>
              </w:rPr>
              <w:t>14</w:t>
            </w:r>
          </w:p>
        </w:tc>
      </w:tr>
      <w:tr w:rsidR="00D324AC" w14:paraId="329FA20F" w14:textId="77777777">
        <w:tc>
          <w:tcPr>
            <w:tcW w:w="1440" w:type="dxa"/>
          </w:tcPr>
          <w:p w14:paraId="32E2796E" w14:textId="77777777" w:rsidR="00D324AC" w:rsidRDefault="00000000">
            <w:pPr>
              <w:spacing w:after="0"/>
            </w:pPr>
            <w:r>
              <w:rPr>
                <w:sz w:val="20"/>
              </w:rPr>
              <w:t>Phase 2</w:t>
            </w:r>
          </w:p>
        </w:tc>
        <w:tc>
          <w:tcPr>
            <w:tcW w:w="6336" w:type="dxa"/>
          </w:tcPr>
          <w:p w14:paraId="35593825" w14:textId="77777777" w:rsidR="00D324AC" w:rsidRDefault="00000000">
            <w:pPr>
              <w:spacing w:after="0"/>
            </w:pPr>
            <w:r>
              <w:rPr>
                <w:sz w:val="20"/>
              </w:rPr>
              <w:t>Email provider, brokerage rates and marketplace rules</w:t>
            </w:r>
          </w:p>
        </w:tc>
        <w:tc>
          <w:tcPr>
            <w:tcW w:w="1440" w:type="dxa"/>
          </w:tcPr>
          <w:p w14:paraId="3ACBAC59" w14:textId="77777777" w:rsidR="00D324AC" w:rsidRDefault="00000000">
            <w:pPr>
              <w:spacing w:after="0"/>
              <w:jc w:val="right"/>
            </w:pPr>
            <w:r>
              <w:rPr>
                <w:sz w:val="20"/>
              </w:rPr>
              <w:t>18</w:t>
            </w:r>
          </w:p>
        </w:tc>
      </w:tr>
      <w:tr w:rsidR="00D324AC" w14:paraId="6FA3FFCD" w14:textId="77777777">
        <w:tc>
          <w:tcPr>
            <w:tcW w:w="1440" w:type="dxa"/>
          </w:tcPr>
          <w:p w14:paraId="3118D71E" w14:textId="77777777" w:rsidR="00D324AC" w:rsidRDefault="00000000">
            <w:pPr>
              <w:spacing w:after="0"/>
            </w:pPr>
            <w:r>
              <w:rPr>
                <w:sz w:val="20"/>
              </w:rPr>
              <w:t>Phase 3</w:t>
            </w:r>
          </w:p>
        </w:tc>
        <w:tc>
          <w:tcPr>
            <w:tcW w:w="6336" w:type="dxa"/>
          </w:tcPr>
          <w:p w14:paraId="2101602F" w14:textId="77777777" w:rsidR="00D324AC" w:rsidRDefault="00000000">
            <w:pPr>
              <w:spacing w:after="0"/>
            </w:pPr>
            <w:r>
              <w:rPr>
                <w:sz w:val="20"/>
              </w:rPr>
              <w:t>Suspensions and the Resources section</w:t>
            </w:r>
          </w:p>
        </w:tc>
        <w:tc>
          <w:tcPr>
            <w:tcW w:w="1440" w:type="dxa"/>
          </w:tcPr>
          <w:p w14:paraId="4CD3AD16" w14:textId="77777777" w:rsidR="00D324AC" w:rsidRDefault="00000000">
            <w:pPr>
              <w:spacing w:after="0"/>
              <w:jc w:val="right"/>
            </w:pPr>
            <w:r>
              <w:rPr>
                <w:sz w:val="20"/>
              </w:rPr>
              <w:t>15</w:t>
            </w:r>
          </w:p>
        </w:tc>
      </w:tr>
      <w:tr w:rsidR="00D324AC" w14:paraId="425072D2" w14:textId="77777777">
        <w:tc>
          <w:tcPr>
            <w:tcW w:w="1440" w:type="dxa"/>
          </w:tcPr>
          <w:p w14:paraId="01996160" w14:textId="77777777" w:rsidR="00D324AC" w:rsidRDefault="00000000">
            <w:pPr>
              <w:spacing w:after="0"/>
            </w:pPr>
            <w:r>
              <w:rPr>
                <w:sz w:val="20"/>
              </w:rPr>
              <w:t>Phase 4</w:t>
            </w:r>
          </w:p>
        </w:tc>
        <w:tc>
          <w:tcPr>
            <w:tcW w:w="6336" w:type="dxa"/>
          </w:tcPr>
          <w:p w14:paraId="743943C3" w14:textId="77777777" w:rsidR="00D324AC" w:rsidRDefault="00000000">
            <w:pPr>
              <w:spacing w:after="0"/>
            </w:pPr>
            <w:r>
              <w:rPr>
                <w:sz w:val="20"/>
              </w:rPr>
              <w:t>Rental income and the document-requirements list</w:t>
            </w:r>
          </w:p>
        </w:tc>
        <w:tc>
          <w:tcPr>
            <w:tcW w:w="1440" w:type="dxa"/>
          </w:tcPr>
          <w:p w14:paraId="53E99044" w14:textId="77777777" w:rsidR="00D324AC" w:rsidRDefault="00000000">
            <w:pPr>
              <w:spacing w:after="0"/>
              <w:jc w:val="right"/>
            </w:pPr>
            <w:r>
              <w:rPr>
                <w:sz w:val="20"/>
              </w:rPr>
              <w:t>17</w:t>
            </w:r>
          </w:p>
        </w:tc>
      </w:tr>
      <w:tr w:rsidR="00D324AC" w14:paraId="1ACCBABC" w14:textId="77777777">
        <w:tc>
          <w:tcPr>
            <w:tcW w:w="1440" w:type="dxa"/>
          </w:tcPr>
          <w:p w14:paraId="2351AE45" w14:textId="77777777" w:rsidR="00D324AC" w:rsidRDefault="00000000">
            <w:pPr>
              <w:spacing w:after="0"/>
            </w:pPr>
            <w:r>
              <w:rPr>
                <w:sz w:val="20"/>
              </w:rPr>
              <w:t>Phase 5</w:t>
            </w:r>
          </w:p>
        </w:tc>
        <w:tc>
          <w:tcPr>
            <w:tcW w:w="6336" w:type="dxa"/>
          </w:tcPr>
          <w:p w14:paraId="0F974797" w14:textId="77777777" w:rsidR="00D324AC" w:rsidRDefault="00000000">
            <w:pPr>
              <w:spacing w:after="0"/>
            </w:pPr>
            <w:r>
              <w:rPr>
                <w:sz w:val="20"/>
              </w:rPr>
              <w:t>AI lender notes and invoicing</w:t>
            </w:r>
          </w:p>
        </w:tc>
        <w:tc>
          <w:tcPr>
            <w:tcW w:w="1440" w:type="dxa"/>
          </w:tcPr>
          <w:p w14:paraId="39A21A03" w14:textId="77777777" w:rsidR="00D324AC" w:rsidRDefault="00000000">
            <w:pPr>
              <w:spacing w:after="0"/>
              <w:jc w:val="right"/>
            </w:pPr>
            <w:r>
              <w:rPr>
                <w:sz w:val="20"/>
              </w:rPr>
              <w:t>19</w:t>
            </w:r>
          </w:p>
        </w:tc>
      </w:tr>
      <w:tr w:rsidR="00D324AC" w14:paraId="13DED457" w14:textId="77777777">
        <w:tc>
          <w:tcPr>
            <w:tcW w:w="1440" w:type="dxa"/>
          </w:tcPr>
          <w:p w14:paraId="3B248960" w14:textId="77777777" w:rsidR="00D324AC" w:rsidRDefault="00000000">
            <w:pPr>
              <w:spacing w:after="0"/>
            </w:pPr>
            <w:r>
              <w:rPr>
                <w:sz w:val="20"/>
              </w:rPr>
              <w:t>Across all</w:t>
            </w:r>
          </w:p>
        </w:tc>
        <w:tc>
          <w:tcPr>
            <w:tcW w:w="6336" w:type="dxa"/>
          </w:tcPr>
          <w:p w14:paraId="03B701DE" w14:textId="77777777" w:rsidR="00D324AC" w:rsidRDefault="00000000">
            <w:pPr>
              <w:spacing w:after="0"/>
            </w:pPr>
            <w:r>
              <w:rPr>
                <w:sz w:val="20"/>
              </w:rPr>
              <w:t>Migrations, bilingual copy, testing and deployment</w:t>
            </w:r>
          </w:p>
        </w:tc>
        <w:tc>
          <w:tcPr>
            <w:tcW w:w="1440" w:type="dxa"/>
          </w:tcPr>
          <w:p w14:paraId="1ECF5AE5" w14:textId="77777777" w:rsidR="00D324AC" w:rsidRDefault="00000000">
            <w:pPr>
              <w:spacing w:after="0"/>
              <w:jc w:val="right"/>
            </w:pPr>
            <w:r>
              <w:rPr>
                <w:sz w:val="20"/>
              </w:rPr>
              <w:t>5</w:t>
            </w:r>
          </w:p>
        </w:tc>
      </w:tr>
      <w:tr w:rsidR="00D324AC" w14:paraId="6853636C" w14:textId="77777777">
        <w:tc>
          <w:tcPr>
            <w:tcW w:w="1440" w:type="dxa"/>
            <w:shd w:val="clear" w:color="auto" w:fill="E2ECE5"/>
          </w:tcPr>
          <w:p w14:paraId="6684DC94" w14:textId="77777777" w:rsidR="00D324AC" w:rsidRDefault="00000000">
            <w:pPr>
              <w:spacing w:after="0"/>
            </w:pPr>
            <w:r>
              <w:rPr>
                <w:b/>
                <w:sz w:val="20"/>
              </w:rPr>
              <w:t>TOTAL</w:t>
            </w:r>
          </w:p>
        </w:tc>
        <w:tc>
          <w:tcPr>
            <w:tcW w:w="6336" w:type="dxa"/>
            <w:shd w:val="clear" w:color="auto" w:fill="E2ECE5"/>
          </w:tcPr>
          <w:p w14:paraId="120F04D7" w14:textId="77777777" w:rsidR="00D324AC" w:rsidRDefault="00000000">
            <w:pPr>
              <w:spacing w:after="0"/>
            </w:pPr>
            <w:r>
              <w:rPr>
                <w:b/>
                <w:sz w:val="20"/>
              </w:rPr>
              <w:t>Full Round 4 engagement</w:t>
            </w:r>
          </w:p>
        </w:tc>
        <w:tc>
          <w:tcPr>
            <w:tcW w:w="1440" w:type="dxa"/>
            <w:shd w:val="clear" w:color="auto" w:fill="E2ECE5"/>
          </w:tcPr>
          <w:p w14:paraId="6539753C" w14:textId="77777777" w:rsidR="00D324AC" w:rsidRDefault="00000000">
            <w:pPr>
              <w:spacing w:after="0"/>
              <w:jc w:val="right"/>
            </w:pPr>
            <w:r>
              <w:rPr>
                <w:b/>
                <w:sz w:val="20"/>
              </w:rPr>
              <w:t>88 h</w:t>
            </w:r>
          </w:p>
        </w:tc>
      </w:tr>
    </w:tbl>
    <w:p w14:paraId="621A2443" w14:textId="77777777" w:rsidR="00D324AC" w:rsidRDefault="00D324AC">
      <w:pPr>
        <w:spacing w:after="40"/>
      </w:pPr>
    </w:p>
    <w:p w14:paraId="1FEE0C1D" w14:textId="77777777" w:rsidR="00D324AC" w:rsidRDefault="00000000">
      <w:r>
        <w:rPr>
          <w:b/>
        </w:rPr>
        <w:t>Firm total: 88 hours, development and QA included — two weeks from approval. Phases are independently deployable and can be invoiced as delivered, the same way Round 3 ran.</w:t>
      </w:r>
    </w:p>
    <w:p w14:paraId="0A536BFC" w14:textId="77777777" w:rsidR="00D324AC" w:rsidRDefault="00000000">
      <w:pPr>
        <w:spacing w:before="280"/>
      </w:pPr>
      <w:r>
        <w:rPr>
          <w:rFonts w:ascii="Georgia" w:hAnsi="Georgia"/>
          <w:b/>
          <w:sz w:val="25"/>
        </w:rPr>
        <w:t>1.2  One item is already built</w:t>
      </w:r>
    </w:p>
    <w:p w14:paraId="3D6265E8" w14:textId="77777777" w:rsidR="00D324AC" w:rsidRDefault="00000000">
      <w:r>
        <w:t>The lender suspension rule confirmed on 4 August — no deals with a closing date inside 45 days or a COF date inside 14 days — is exactly the rating-penalty effect delivered in Round 3, including the admin-configurable day thresholds. Only the manual control, the audit trail and the broker side are new work, which is why suspensions are quoted at 8.5 hours rather than roughly twenty.</w:t>
      </w:r>
    </w:p>
    <w:p w14:paraId="02EC5A70" w14:textId="77777777" w:rsidR="00D324AC" w:rsidRDefault="00000000">
      <w:pPr>
        <w:spacing w:before="280"/>
      </w:pPr>
      <w:r>
        <w:rPr>
          <w:rFonts w:ascii="Georgia" w:hAnsi="Georgia"/>
          <w:b/>
          <w:sz w:val="25"/>
        </w:rPr>
        <w:t>1.3  Phase order</w:t>
      </w:r>
    </w:p>
    <w:p w14:paraId="40563668" w14:textId="77777777" w:rsidR="00D324AC" w:rsidRDefault="00000000">
      <w:r>
        <w:t>The phases are ordered by dependency, not by preference. The document-requirements list keys off six fields that do not exist on the platform yet — HoldCo, spousal buyout, refinance plus improvements, foster care income, the child-support TDS checkbox and condo conversion — so the field work in Phase 1 has to land before Phase 4 can be built.</w:t>
      </w:r>
    </w:p>
    <w:p w14:paraId="467204B5" w14:textId="77777777" w:rsidR="00D324AC" w:rsidRDefault="00000000">
      <w:r>
        <w:br w:type="page"/>
      </w:r>
    </w:p>
    <w:p w14:paraId="1F2B64D4" w14:textId="77777777" w:rsidR="00D324AC" w:rsidRDefault="00000000">
      <w:pPr>
        <w:spacing w:before="400" w:after="160"/>
      </w:pPr>
      <w:r>
        <w:rPr>
          <w:rFonts w:ascii="Georgia" w:hAnsi="Georgia"/>
          <w:b/>
          <w:color w:val="2E6A4E"/>
          <w:sz w:val="34"/>
        </w:rPr>
        <w:lastRenderedPageBreak/>
        <w:t>2.  Detailed breakdown</w:t>
      </w:r>
    </w:p>
    <w:p w14:paraId="5EC7E105" w14:textId="77777777" w:rsidR="00D324AC" w:rsidRDefault="00000000">
      <w:r>
        <w:t>Every requested item, grouped by delivery phase, with firm hours.</w:t>
      </w:r>
    </w:p>
    <w:p w14:paraId="35106C03" w14:textId="77777777" w:rsidR="00D324AC" w:rsidRDefault="00000000">
      <w:pPr>
        <w:spacing w:before="280"/>
      </w:pPr>
      <w:r>
        <w:rPr>
          <w:rFonts w:ascii="Georgia" w:hAnsi="Georgia"/>
          <w:b/>
          <w:sz w:val="25"/>
        </w:rPr>
        <w:t>Phase 1 — Create Deal fields, labels and lender filters</w:t>
      </w:r>
    </w:p>
    <w:tbl>
      <w:tblPr>
        <w:tblStyle w:val="Tablaconcuadrcula"/>
        <w:tblW w:w="11448" w:type="dxa"/>
        <w:jc w:val="center"/>
        <w:tblLayout w:type="fixed"/>
        <w:tblLook w:val="04A0" w:firstRow="1" w:lastRow="0" w:firstColumn="1" w:lastColumn="0" w:noHBand="0" w:noVBand="1"/>
      </w:tblPr>
      <w:tblGrid>
        <w:gridCol w:w="7776"/>
        <w:gridCol w:w="3672"/>
      </w:tblGrid>
      <w:tr w:rsidR="00D324AC" w14:paraId="1B9F76AC" w14:textId="77777777" w:rsidTr="00E04700">
        <w:trPr>
          <w:jc w:val="center"/>
        </w:trPr>
        <w:tc>
          <w:tcPr>
            <w:tcW w:w="7776" w:type="dxa"/>
            <w:shd w:val="clear" w:color="auto" w:fill="ECEEE8"/>
          </w:tcPr>
          <w:p w14:paraId="520C77D8" w14:textId="77777777" w:rsidR="00D324AC" w:rsidRDefault="00000000">
            <w:pPr>
              <w:spacing w:after="40"/>
            </w:pPr>
            <w:r>
              <w:rPr>
                <w:b/>
                <w:color w:val="6B7A72"/>
                <w:sz w:val="17"/>
              </w:rPr>
              <w:t>Requested change</w:t>
            </w:r>
          </w:p>
        </w:tc>
        <w:tc>
          <w:tcPr>
            <w:tcW w:w="3672" w:type="dxa"/>
            <w:shd w:val="clear" w:color="auto" w:fill="ECEEE8"/>
          </w:tcPr>
          <w:p w14:paraId="435E819F" w14:textId="77777777" w:rsidR="00D324AC" w:rsidRDefault="00000000">
            <w:pPr>
              <w:spacing w:after="40"/>
              <w:jc w:val="right"/>
            </w:pPr>
            <w:r>
              <w:rPr>
                <w:b/>
                <w:color w:val="6B7A72"/>
                <w:sz w:val="17"/>
              </w:rPr>
              <w:t>Hours</w:t>
            </w:r>
          </w:p>
        </w:tc>
      </w:tr>
      <w:tr w:rsidR="00D324AC" w14:paraId="0B78A446" w14:textId="77777777" w:rsidTr="00E04700">
        <w:trPr>
          <w:jc w:val="center"/>
        </w:trPr>
        <w:tc>
          <w:tcPr>
            <w:tcW w:w="7776" w:type="dxa"/>
          </w:tcPr>
          <w:p w14:paraId="4F986A04" w14:textId="77777777" w:rsidR="00D324AC" w:rsidRDefault="00000000">
            <w:pPr>
              <w:spacing w:after="0"/>
            </w:pPr>
            <w:r>
              <w:rPr>
                <w:sz w:val="20"/>
              </w:rPr>
              <w:t>Property-tax preference checkboxes, with a lender filter for either</w:t>
            </w:r>
          </w:p>
          <w:p w14:paraId="25280AE0" w14:textId="77777777" w:rsidR="00D324AC" w:rsidRDefault="00000000">
            <w:pPr>
              <w:spacing w:before="20" w:after="0"/>
            </w:pPr>
            <w:r>
              <w:rPr>
                <w:i/>
                <w:color w:val="6B7A72"/>
                <w:sz w:val="17"/>
              </w:rPr>
              <w:t>Two checkboxes in the Property section plus the matching lender exclusion.</w:t>
            </w:r>
          </w:p>
        </w:tc>
        <w:tc>
          <w:tcPr>
            <w:tcW w:w="3672" w:type="dxa"/>
          </w:tcPr>
          <w:p w14:paraId="0C35EAAD" w14:textId="77777777" w:rsidR="00D324AC" w:rsidRDefault="00000000">
            <w:pPr>
              <w:spacing w:after="0"/>
              <w:jc w:val="right"/>
            </w:pPr>
            <w:r>
              <w:rPr>
                <w:sz w:val="20"/>
              </w:rPr>
              <w:t>1</w:t>
            </w:r>
          </w:p>
        </w:tc>
      </w:tr>
      <w:tr w:rsidR="00D324AC" w14:paraId="5282647E" w14:textId="77777777" w:rsidTr="00E04700">
        <w:trPr>
          <w:jc w:val="center"/>
        </w:trPr>
        <w:tc>
          <w:tcPr>
            <w:tcW w:w="7776" w:type="dxa"/>
          </w:tcPr>
          <w:p w14:paraId="2E42D877" w14:textId="77777777" w:rsidR="00D324AC" w:rsidRDefault="00000000">
            <w:pPr>
              <w:spacing w:after="0"/>
            </w:pPr>
            <w:r>
              <w:rPr>
                <w:sz w:val="20"/>
              </w:rPr>
              <w:t>“HoldCo on title” checkbox</w:t>
            </w:r>
          </w:p>
        </w:tc>
        <w:tc>
          <w:tcPr>
            <w:tcW w:w="3672" w:type="dxa"/>
          </w:tcPr>
          <w:p w14:paraId="55770833" w14:textId="77777777" w:rsidR="00D324AC" w:rsidRDefault="00000000">
            <w:pPr>
              <w:spacing w:after="0"/>
              <w:jc w:val="right"/>
            </w:pPr>
            <w:r>
              <w:rPr>
                <w:sz w:val="20"/>
              </w:rPr>
              <w:t>0.25</w:t>
            </w:r>
          </w:p>
        </w:tc>
      </w:tr>
      <w:tr w:rsidR="00D324AC" w14:paraId="1904AB38" w14:textId="77777777" w:rsidTr="00E04700">
        <w:trPr>
          <w:jc w:val="center"/>
        </w:trPr>
        <w:tc>
          <w:tcPr>
            <w:tcW w:w="7776" w:type="dxa"/>
          </w:tcPr>
          <w:p w14:paraId="6F56190D" w14:textId="77777777" w:rsidR="00D324AC" w:rsidRDefault="00000000">
            <w:pPr>
              <w:spacing w:after="0"/>
            </w:pPr>
            <w:r>
              <w:rPr>
                <w:sz w:val="20"/>
              </w:rPr>
              <w:t>“Spousal buyout” and “Refinance plus improvements” checkboxes</w:t>
            </w:r>
          </w:p>
          <w:p w14:paraId="550BFB69" w14:textId="77777777" w:rsidR="00D324AC" w:rsidRDefault="00000000">
            <w:pPr>
              <w:spacing w:before="20" w:after="0"/>
            </w:pPr>
            <w:r>
              <w:rPr>
                <w:i/>
                <w:color w:val="6B7A72"/>
                <w:sz w:val="17"/>
              </w:rPr>
              <w:t>Added to Deal Information alongside Reverse Mortgage and First Time Home Buyer.</w:t>
            </w:r>
          </w:p>
        </w:tc>
        <w:tc>
          <w:tcPr>
            <w:tcW w:w="3672" w:type="dxa"/>
          </w:tcPr>
          <w:p w14:paraId="47B8D65E" w14:textId="77777777" w:rsidR="00D324AC" w:rsidRDefault="00000000">
            <w:pPr>
              <w:spacing w:after="0"/>
              <w:jc w:val="right"/>
            </w:pPr>
            <w:r>
              <w:rPr>
                <w:sz w:val="20"/>
              </w:rPr>
              <w:t>0.5</w:t>
            </w:r>
          </w:p>
        </w:tc>
      </w:tr>
      <w:tr w:rsidR="00D324AC" w14:paraId="44B1B20A" w14:textId="77777777" w:rsidTr="00E04700">
        <w:trPr>
          <w:jc w:val="center"/>
        </w:trPr>
        <w:tc>
          <w:tcPr>
            <w:tcW w:w="7776" w:type="dxa"/>
          </w:tcPr>
          <w:p w14:paraId="6329395D" w14:textId="77777777" w:rsidR="00D324AC" w:rsidRDefault="00000000">
            <w:pPr>
              <w:spacing w:after="0"/>
            </w:pPr>
            <w:r>
              <w:rPr>
                <w:sz w:val="20"/>
              </w:rPr>
              <w:t>“First-Time Buyer” renamed to “First Time Home Buyer”</w:t>
            </w:r>
          </w:p>
        </w:tc>
        <w:tc>
          <w:tcPr>
            <w:tcW w:w="3672" w:type="dxa"/>
          </w:tcPr>
          <w:p w14:paraId="3F8AA390" w14:textId="77777777" w:rsidR="00D324AC" w:rsidRDefault="00000000">
            <w:pPr>
              <w:spacing w:after="0"/>
              <w:jc w:val="right"/>
            </w:pPr>
            <w:r>
              <w:rPr>
                <w:sz w:val="20"/>
              </w:rPr>
              <w:t>0.25</w:t>
            </w:r>
          </w:p>
        </w:tc>
      </w:tr>
      <w:tr w:rsidR="00D324AC" w14:paraId="2116D051" w14:textId="77777777" w:rsidTr="00E04700">
        <w:trPr>
          <w:jc w:val="center"/>
        </w:trPr>
        <w:tc>
          <w:tcPr>
            <w:tcW w:w="7776" w:type="dxa"/>
          </w:tcPr>
          <w:p w14:paraId="70080498" w14:textId="77777777" w:rsidR="00D324AC" w:rsidRDefault="00000000">
            <w:pPr>
              <w:spacing w:after="0"/>
            </w:pPr>
            <w:r>
              <w:rPr>
                <w:sz w:val="20"/>
              </w:rPr>
              <w:t>“Foster Care Income” added to the income checkboxes</w:t>
            </w:r>
          </w:p>
        </w:tc>
        <w:tc>
          <w:tcPr>
            <w:tcW w:w="3672" w:type="dxa"/>
          </w:tcPr>
          <w:p w14:paraId="7EA528AF" w14:textId="77777777" w:rsidR="00D324AC" w:rsidRDefault="00000000">
            <w:pPr>
              <w:spacing w:after="0"/>
              <w:jc w:val="right"/>
            </w:pPr>
            <w:r>
              <w:rPr>
                <w:sz w:val="20"/>
              </w:rPr>
              <w:t>0.5</w:t>
            </w:r>
          </w:p>
        </w:tc>
      </w:tr>
      <w:tr w:rsidR="00D324AC" w14:paraId="3C22ADB8" w14:textId="77777777" w:rsidTr="00E04700">
        <w:trPr>
          <w:jc w:val="center"/>
        </w:trPr>
        <w:tc>
          <w:tcPr>
            <w:tcW w:w="7776" w:type="dxa"/>
          </w:tcPr>
          <w:p w14:paraId="034267F4" w14:textId="77777777" w:rsidR="00D324AC" w:rsidRDefault="00000000">
            <w:pPr>
              <w:spacing w:after="0"/>
            </w:pPr>
            <w:r>
              <w:rPr>
                <w:sz w:val="20"/>
              </w:rPr>
              <w:t>“Condo conversion” added to the dwelling types</w:t>
            </w:r>
          </w:p>
        </w:tc>
        <w:tc>
          <w:tcPr>
            <w:tcW w:w="3672" w:type="dxa"/>
          </w:tcPr>
          <w:p w14:paraId="259ABBC8" w14:textId="77777777" w:rsidR="00D324AC" w:rsidRDefault="00000000">
            <w:pPr>
              <w:spacing w:after="0"/>
              <w:jc w:val="right"/>
            </w:pPr>
            <w:r>
              <w:rPr>
                <w:sz w:val="20"/>
              </w:rPr>
              <w:t>0.5</w:t>
            </w:r>
          </w:p>
        </w:tc>
      </w:tr>
      <w:tr w:rsidR="00D324AC" w14:paraId="2A947538" w14:textId="77777777" w:rsidTr="00E04700">
        <w:trPr>
          <w:jc w:val="center"/>
        </w:trPr>
        <w:tc>
          <w:tcPr>
            <w:tcW w:w="7776" w:type="dxa"/>
          </w:tcPr>
          <w:p w14:paraId="196F2FF5" w14:textId="77777777" w:rsidR="00D324AC" w:rsidRDefault="00000000">
            <w:pPr>
              <w:spacing w:after="0"/>
            </w:pPr>
            <w:r>
              <w:rPr>
                <w:sz w:val="20"/>
              </w:rPr>
              <w:t>“Child support or alimony included in the TDS ratios” checkbox</w:t>
            </w:r>
          </w:p>
          <w:p w14:paraId="598F81C0" w14:textId="77777777" w:rsidR="00D324AC" w:rsidRDefault="00000000">
            <w:pPr>
              <w:spacing w:before="20" w:after="0"/>
            </w:pPr>
            <w:r>
              <w:rPr>
                <w:i/>
                <w:color w:val="6B7A72"/>
                <w:sz w:val="17"/>
              </w:rPr>
              <w:t>Placed under GDS/TDS. No lender filter, as requested.</w:t>
            </w:r>
          </w:p>
        </w:tc>
        <w:tc>
          <w:tcPr>
            <w:tcW w:w="3672" w:type="dxa"/>
          </w:tcPr>
          <w:p w14:paraId="717181FB" w14:textId="77777777" w:rsidR="00D324AC" w:rsidRDefault="00000000">
            <w:pPr>
              <w:spacing w:after="0"/>
              <w:jc w:val="right"/>
            </w:pPr>
            <w:r>
              <w:rPr>
                <w:sz w:val="20"/>
              </w:rPr>
              <w:t>0.5</w:t>
            </w:r>
          </w:p>
        </w:tc>
      </w:tr>
      <w:tr w:rsidR="00D324AC" w14:paraId="23E8A278" w14:textId="77777777" w:rsidTr="00E04700">
        <w:trPr>
          <w:jc w:val="center"/>
        </w:trPr>
        <w:tc>
          <w:tcPr>
            <w:tcW w:w="7776" w:type="dxa"/>
          </w:tcPr>
          <w:p w14:paraId="1C61A2B6" w14:textId="77777777" w:rsidR="00D324AC" w:rsidRDefault="00000000">
            <w:pPr>
              <w:spacing w:after="0"/>
            </w:pPr>
            <w:r>
              <w:rPr>
                <w:sz w:val="20"/>
              </w:rPr>
              <w:t>Down-payment source and notes hidden on refinance and renewal</w:t>
            </w:r>
          </w:p>
          <w:p w14:paraId="68ABF0E3" w14:textId="77777777" w:rsidR="00D324AC" w:rsidRDefault="00000000">
            <w:pPr>
              <w:spacing w:before="20" w:after="0"/>
            </w:pPr>
            <w:r>
              <w:rPr>
                <w:i/>
                <w:color w:val="6B7A72"/>
                <w:sz w:val="17"/>
              </w:rPr>
              <w:t>Includes the “Foreign Income / Down Payment Country” label collapsing to “Foreign Income”.</w:t>
            </w:r>
          </w:p>
        </w:tc>
        <w:tc>
          <w:tcPr>
            <w:tcW w:w="3672" w:type="dxa"/>
          </w:tcPr>
          <w:p w14:paraId="27452D53" w14:textId="77777777" w:rsidR="00D324AC" w:rsidRDefault="00000000">
            <w:pPr>
              <w:spacing w:after="0"/>
              <w:jc w:val="right"/>
            </w:pPr>
            <w:r>
              <w:rPr>
                <w:sz w:val="20"/>
              </w:rPr>
              <w:t>1.25</w:t>
            </w:r>
          </w:p>
        </w:tc>
      </w:tr>
      <w:tr w:rsidR="00D324AC" w14:paraId="7152A924" w14:textId="77777777" w:rsidTr="00E04700">
        <w:trPr>
          <w:jc w:val="center"/>
        </w:trPr>
        <w:tc>
          <w:tcPr>
            <w:tcW w:w="7776" w:type="dxa"/>
          </w:tcPr>
          <w:p w14:paraId="2EAD9CDA" w14:textId="77777777" w:rsidR="00D324AC" w:rsidRDefault="00000000">
            <w:pPr>
              <w:spacing w:after="0"/>
            </w:pPr>
            <w:r>
              <w:rPr>
                <w:sz w:val="20"/>
              </w:rPr>
              <w:t>Mobile home: year built and CSA seal, with both lender filters</w:t>
            </w:r>
          </w:p>
        </w:tc>
        <w:tc>
          <w:tcPr>
            <w:tcW w:w="3672" w:type="dxa"/>
          </w:tcPr>
          <w:p w14:paraId="55672711" w14:textId="77777777" w:rsidR="00D324AC" w:rsidRDefault="00000000">
            <w:pPr>
              <w:spacing w:after="0"/>
              <w:jc w:val="right"/>
            </w:pPr>
            <w:r>
              <w:rPr>
                <w:sz w:val="20"/>
              </w:rPr>
              <w:t>1.25</w:t>
            </w:r>
          </w:p>
        </w:tc>
      </w:tr>
      <w:tr w:rsidR="00D324AC" w14:paraId="35E433C8" w14:textId="77777777" w:rsidTr="00E04700">
        <w:trPr>
          <w:jc w:val="center"/>
        </w:trPr>
        <w:tc>
          <w:tcPr>
            <w:tcW w:w="7776" w:type="dxa"/>
          </w:tcPr>
          <w:p w14:paraId="0B2FAE7C" w14:textId="77777777" w:rsidR="00D324AC" w:rsidRDefault="00000000">
            <w:pPr>
              <w:spacing w:after="0"/>
            </w:pPr>
            <w:r>
              <w:rPr>
                <w:sz w:val="20"/>
              </w:rPr>
              <w:t>Label changes and the work-permit 183-day warning</w:t>
            </w:r>
          </w:p>
          <w:p w14:paraId="3F458DCF" w14:textId="77777777" w:rsidR="00D324AC" w:rsidRDefault="00000000">
            <w:pPr>
              <w:spacing w:before="20" w:after="0"/>
            </w:pPr>
            <w:r>
              <w:rPr>
                <w:i/>
                <w:color w:val="6B7A72"/>
                <w:sz w:val="17"/>
              </w:rPr>
              <w:t>Medical Professionals Program (Projected income), Hourly (Guaranteed hours, no OT/Bonus), Net Worth Program.</w:t>
            </w:r>
          </w:p>
        </w:tc>
        <w:tc>
          <w:tcPr>
            <w:tcW w:w="3672" w:type="dxa"/>
          </w:tcPr>
          <w:p w14:paraId="6A5E11F7" w14:textId="77777777" w:rsidR="00D324AC" w:rsidRDefault="00000000">
            <w:pPr>
              <w:spacing w:after="0"/>
              <w:jc w:val="right"/>
            </w:pPr>
            <w:r>
              <w:rPr>
                <w:sz w:val="20"/>
              </w:rPr>
              <w:t>0.75</w:t>
            </w:r>
          </w:p>
        </w:tc>
      </w:tr>
      <w:tr w:rsidR="00D324AC" w14:paraId="689062D7" w14:textId="77777777" w:rsidTr="00E04700">
        <w:trPr>
          <w:jc w:val="center"/>
        </w:trPr>
        <w:tc>
          <w:tcPr>
            <w:tcW w:w="7776" w:type="dxa"/>
          </w:tcPr>
          <w:p w14:paraId="0EA34D96" w14:textId="77777777" w:rsidR="00D324AC" w:rsidRDefault="00000000">
            <w:pPr>
              <w:spacing w:after="0"/>
            </w:pPr>
            <w:r>
              <w:rPr>
                <w:sz w:val="20"/>
              </w:rPr>
              <w:t>Lender sign-in prompt to set lending criteria</w:t>
            </w:r>
          </w:p>
          <w:p w14:paraId="29E4235F" w14:textId="77777777" w:rsidR="00D324AC" w:rsidRDefault="00000000">
            <w:pPr>
              <w:spacing w:before="20" w:after="0"/>
            </w:pPr>
            <w:r>
              <w:rPr>
                <w:i/>
                <w:color w:val="6B7A72"/>
                <w:sz w:val="17"/>
              </w:rPr>
              <w:t>Stops appearing once the lender has saved one filter.</w:t>
            </w:r>
          </w:p>
        </w:tc>
        <w:tc>
          <w:tcPr>
            <w:tcW w:w="3672" w:type="dxa"/>
          </w:tcPr>
          <w:p w14:paraId="302DCFF9" w14:textId="77777777" w:rsidR="00D324AC" w:rsidRDefault="00000000">
            <w:pPr>
              <w:spacing w:after="0"/>
              <w:jc w:val="right"/>
            </w:pPr>
            <w:r>
              <w:rPr>
                <w:sz w:val="20"/>
              </w:rPr>
              <w:t>1.25</w:t>
            </w:r>
          </w:p>
        </w:tc>
      </w:tr>
      <w:tr w:rsidR="00D324AC" w14:paraId="13959D18" w14:textId="77777777" w:rsidTr="00E04700">
        <w:trPr>
          <w:jc w:val="center"/>
        </w:trPr>
        <w:tc>
          <w:tcPr>
            <w:tcW w:w="7776" w:type="dxa"/>
          </w:tcPr>
          <w:p w14:paraId="062CB4B7" w14:textId="77777777" w:rsidR="00D324AC" w:rsidRDefault="00000000">
            <w:pPr>
              <w:spacing w:after="0"/>
            </w:pPr>
            <w:r>
              <w:rPr>
                <w:sz w:val="20"/>
              </w:rPr>
              <w:t>“Select Lender” label on the create-account page</w:t>
            </w:r>
          </w:p>
        </w:tc>
        <w:tc>
          <w:tcPr>
            <w:tcW w:w="3672" w:type="dxa"/>
          </w:tcPr>
          <w:p w14:paraId="7C1D8574" w14:textId="77777777" w:rsidR="00D324AC" w:rsidRDefault="00000000">
            <w:pPr>
              <w:spacing w:after="0"/>
              <w:jc w:val="right"/>
            </w:pPr>
            <w:r>
              <w:rPr>
                <w:sz w:val="20"/>
              </w:rPr>
              <w:t>0.25</w:t>
            </w:r>
          </w:p>
        </w:tc>
      </w:tr>
      <w:tr w:rsidR="00D324AC" w14:paraId="26C24408" w14:textId="77777777" w:rsidTr="00E04700">
        <w:trPr>
          <w:jc w:val="center"/>
        </w:trPr>
        <w:tc>
          <w:tcPr>
            <w:tcW w:w="7776" w:type="dxa"/>
          </w:tcPr>
          <w:p w14:paraId="6DB84F33" w14:textId="77777777" w:rsidR="00D324AC" w:rsidRDefault="00000000">
            <w:pPr>
              <w:spacing w:after="0"/>
            </w:pPr>
            <w:r>
              <w:rPr>
                <w:sz w:val="20"/>
              </w:rPr>
              <w:t>“Not on the list? Email support@lendermatch.ca” on both sign-up forms</w:t>
            </w:r>
          </w:p>
        </w:tc>
        <w:tc>
          <w:tcPr>
            <w:tcW w:w="3672" w:type="dxa"/>
          </w:tcPr>
          <w:p w14:paraId="52C33B2E" w14:textId="77777777" w:rsidR="00D324AC" w:rsidRDefault="00000000">
            <w:pPr>
              <w:spacing w:after="0"/>
              <w:jc w:val="right"/>
            </w:pPr>
            <w:r>
              <w:rPr>
                <w:sz w:val="20"/>
              </w:rPr>
              <w:t>0.25</w:t>
            </w:r>
          </w:p>
        </w:tc>
      </w:tr>
      <w:tr w:rsidR="00D324AC" w14:paraId="5033442F" w14:textId="77777777" w:rsidTr="00E04700">
        <w:trPr>
          <w:jc w:val="center"/>
        </w:trPr>
        <w:tc>
          <w:tcPr>
            <w:tcW w:w="7776" w:type="dxa"/>
          </w:tcPr>
          <w:p w14:paraId="05B8A51A" w14:textId="77777777" w:rsidR="00D324AC" w:rsidRDefault="00000000">
            <w:pPr>
              <w:spacing w:after="0"/>
            </w:pPr>
            <w:r>
              <w:rPr>
                <w:sz w:val="20"/>
              </w:rPr>
              <w:t>Closing-survey questions reworded to “within the quoted timeframe”</w:t>
            </w:r>
          </w:p>
        </w:tc>
        <w:tc>
          <w:tcPr>
            <w:tcW w:w="3672" w:type="dxa"/>
          </w:tcPr>
          <w:p w14:paraId="17A280C8" w14:textId="77777777" w:rsidR="00D324AC" w:rsidRDefault="00000000">
            <w:pPr>
              <w:spacing w:after="0"/>
              <w:jc w:val="right"/>
            </w:pPr>
            <w:r>
              <w:rPr>
                <w:sz w:val="20"/>
              </w:rPr>
              <w:t>0.25</w:t>
            </w:r>
          </w:p>
        </w:tc>
      </w:tr>
      <w:tr w:rsidR="00D324AC" w14:paraId="7C5E3959" w14:textId="77777777" w:rsidTr="00E04700">
        <w:trPr>
          <w:jc w:val="center"/>
        </w:trPr>
        <w:tc>
          <w:tcPr>
            <w:tcW w:w="7776" w:type="dxa"/>
          </w:tcPr>
          <w:p w14:paraId="59CB9C82" w14:textId="77777777" w:rsidR="00D324AC" w:rsidRDefault="00000000">
            <w:pPr>
              <w:spacing w:after="0"/>
            </w:pPr>
            <w:r>
              <w:rPr>
                <w:sz w:val="20"/>
              </w:rPr>
              <w:t>Net Worth Program: “Annual Income” input with the lender-variation note</w:t>
            </w:r>
          </w:p>
        </w:tc>
        <w:tc>
          <w:tcPr>
            <w:tcW w:w="3672" w:type="dxa"/>
          </w:tcPr>
          <w:p w14:paraId="73401478" w14:textId="77777777" w:rsidR="00D324AC" w:rsidRDefault="00000000">
            <w:pPr>
              <w:spacing w:after="0"/>
              <w:jc w:val="right"/>
            </w:pPr>
            <w:r>
              <w:rPr>
                <w:sz w:val="20"/>
              </w:rPr>
              <w:t>0.5</w:t>
            </w:r>
          </w:p>
        </w:tc>
      </w:tr>
      <w:tr w:rsidR="00D324AC" w14:paraId="4BFBD89B" w14:textId="77777777" w:rsidTr="00E04700">
        <w:trPr>
          <w:jc w:val="center"/>
        </w:trPr>
        <w:tc>
          <w:tcPr>
            <w:tcW w:w="7776" w:type="dxa"/>
          </w:tcPr>
          <w:p w14:paraId="45CB11FA" w14:textId="77777777" w:rsidR="00D324AC" w:rsidRDefault="00000000">
            <w:pPr>
              <w:spacing w:after="0"/>
            </w:pPr>
            <w:r>
              <w:rPr>
                <w:sz w:val="20"/>
              </w:rPr>
              <w:t>Lender filter: minimum income required for the Net Worth Program</w:t>
            </w:r>
          </w:p>
          <w:p w14:paraId="1A7D8D66" w14:textId="77777777" w:rsidR="00D324AC" w:rsidRDefault="00000000">
            <w:pPr>
              <w:spacing w:before="20" w:after="0"/>
            </w:pPr>
            <w:r>
              <w:rPr>
                <w:i/>
                <w:color w:val="6B7A72"/>
                <w:sz w:val="17"/>
              </w:rPr>
              <w:t>Restricts matches only when the lender has entered a minimum.</w:t>
            </w:r>
          </w:p>
        </w:tc>
        <w:tc>
          <w:tcPr>
            <w:tcW w:w="3672" w:type="dxa"/>
          </w:tcPr>
          <w:p w14:paraId="5DA632E8" w14:textId="77777777" w:rsidR="00D324AC" w:rsidRDefault="00000000">
            <w:pPr>
              <w:spacing w:after="0"/>
              <w:jc w:val="right"/>
            </w:pPr>
            <w:r>
              <w:rPr>
                <w:sz w:val="20"/>
              </w:rPr>
              <w:t>1.25</w:t>
            </w:r>
          </w:p>
        </w:tc>
      </w:tr>
      <w:tr w:rsidR="00D324AC" w14:paraId="24003E30" w14:textId="77777777" w:rsidTr="00E04700">
        <w:trPr>
          <w:jc w:val="center"/>
        </w:trPr>
        <w:tc>
          <w:tcPr>
            <w:tcW w:w="7776" w:type="dxa"/>
          </w:tcPr>
          <w:p w14:paraId="17B1827C" w14:textId="77777777" w:rsidR="00D324AC" w:rsidRDefault="00000000">
            <w:pPr>
              <w:spacing w:after="0"/>
            </w:pPr>
            <w:r>
              <w:rPr>
                <w:sz w:val="20"/>
              </w:rPr>
              <w:t>Carrying every new field through the lender filter system</w:t>
            </w:r>
          </w:p>
          <w:p w14:paraId="0FE7902A" w14:textId="77777777" w:rsidR="00D324AC" w:rsidRDefault="00000000">
            <w:pPr>
              <w:spacing w:before="20" w:after="0"/>
            </w:pPr>
            <w:r>
              <w:rPr>
                <w:i/>
                <w:color w:val="6B7A72"/>
                <w:sz w:val="17"/>
              </w:rPr>
              <w:t>Saved filters, the filter side-panel, lender settings, the matching engine and both deal feeds.</w:t>
            </w:r>
          </w:p>
        </w:tc>
        <w:tc>
          <w:tcPr>
            <w:tcW w:w="3672" w:type="dxa"/>
          </w:tcPr>
          <w:p w14:paraId="419248D0" w14:textId="77777777" w:rsidR="00D324AC" w:rsidRDefault="00000000">
            <w:pPr>
              <w:spacing w:after="0"/>
              <w:jc w:val="right"/>
            </w:pPr>
            <w:r>
              <w:rPr>
                <w:sz w:val="20"/>
              </w:rPr>
              <w:t>3.5</w:t>
            </w:r>
          </w:p>
        </w:tc>
      </w:tr>
      <w:tr w:rsidR="00D324AC" w14:paraId="5051C408" w14:textId="77777777" w:rsidTr="00E04700">
        <w:trPr>
          <w:jc w:val="center"/>
        </w:trPr>
        <w:tc>
          <w:tcPr>
            <w:tcW w:w="7776" w:type="dxa"/>
            <w:shd w:val="clear" w:color="auto" w:fill="E2ECE5"/>
          </w:tcPr>
          <w:p w14:paraId="385E7D1F" w14:textId="77777777" w:rsidR="00D324AC" w:rsidRDefault="00000000">
            <w:pPr>
              <w:spacing w:after="0"/>
            </w:pPr>
            <w:r>
              <w:rPr>
                <w:b/>
                <w:sz w:val="20"/>
              </w:rPr>
              <w:t>Subtotal — Phase 1</w:t>
            </w:r>
          </w:p>
        </w:tc>
        <w:tc>
          <w:tcPr>
            <w:tcW w:w="3672" w:type="dxa"/>
            <w:shd w:val="clear" w:color="auto" w:fill="E2ECE5"/>
          </w:tcPr>
          <w:p w14:paraId="1BF2E542" w14:textId="77777777" w:rsidR="00D324AC" w:rsidRDefault="00000000">
            <w:pPr>
              <w:spacing w:after="0"/>
              <w:jc w:val="right"/>
            </w:pPr>
            <w:r>
              <w:rPr>
                <w:b/>
                <w:sz w:val="20"/>
              </w:rPr>
              <w:t>14 h</w:t>
            </w:r>
          </w:p>
        </w:tc>
      </w:tr>
    </w:tbl>
    <w:p w14:paraId="6BDA4371" w14:textId="77777777" w:rsidR="00D324AC" w:rsidRDefault="00D324AC">
      <w:pPr>
        <w:spacing w:after="40"/>
      </w:pPr>
    </w:p>
    <w:p w14:paraId="2F5A2C67" w14:textId="77777777" w:rsidR="00D324AC" w:rsidRDefault="00000000">
      <w:pPr>
        <w:spacing w:before="280"/>
      </w:pPr>
      <w:r>
        <w:rPr>
          <w:rFonts w:ascii="Georgia" w:hAnsi="Georgia"/>
          <w:b/>
          <w:sz w:val="25"/>
        </w:rPr>
        <w:t>Phase 2 — Email provider, brokerage rates and marketplace rules</w:t>
      </w:r>
    </w:p>
    <w:tbl>
      <w:tblPr>
        <w:tblStyle w:val="Tablaconcuadrcula"/>
        <w:tblW w:w="11430" w:type="dxa"/>
        <w:jc w:val="center"/>
        <w:tblLayout w:type="fixed"/>
        <w:tblLook w:val="04A0" w:firstRow="1" w:lastRow="0" w:firstColumn="1" w:lastColumn="0" w:noHBand="0" w:noVBand="1"/>
      </w:tblPr>
      <w:tblGrid>
        <w:gridCol w:w="7308"/>
        <w:gridCol w:w="4122"/>
      </w:tblGrid>
      <w:tr w:rsidR="00D324AC" w14:paraId="281B20B3" w14:textId="77777777" w:rsidTr="00E04700">
        <w:trPr>
          <w:jc w:val="center"/>
        </w:trPr>
        <w:tc>
          <w:tcPr>
            <w:tcW w:w="7308" w:type="dxa"/>
            <w:shd w:val="clear" w:color="auto" w:fill="ECEEE8"/>
          </w:tcPr>
          <w:p w14:paraId="31664A0E" w14:textId="77777777" w:rsidR="00D324AC" w:rsidRDefault="00000000">
            <w:pPr>
              <w:spacing w:after="40"/>
            </w:pPr>
            <w:r>
              <w:rPr>
                <w:b/>
                <w:color w:val="6B7A72"/>
                <w:sz w:val="17"/>
              </w:rPr>
              <w:t>Requested change</w:t>
            </w:r>
          </w:p>
        </w:tc>
        <w:tc>
          <w:tcPr>
            <w:tcW w:w="4122" w:type="dxa"/>
            <w:shd w:val="clear" w:color="auto" w:fill="ECEEE8"/>
          </w:tcPr>
          <w:p w14:paraId="3C33BE5F" w14:textId="77777777" w:rsidR="00D324AC" w:rsidRDefault="00000000">
            <w:pPr>
              <w:spacing w:after="40"/>
              <w:jc w:val="right"/>
            </w:pPr>
            <w:r>
              <w:rPr>
                <w:b/>
                <w:color w:val="6B7A72"/>
                <w:sz w:val="17"/>
              </w:rPr>
              <w:t>Hours</w:t>
            </w:r>
          </w:p>
        </w:tc>
      </w:tr>
      <w:tr w:rsidR="00D324AC" w14:paraId="6F8F7593" w14:textId="77777777" w:rsidTr="00E04700">
        <w:trPr>
          <w:jc w:val="center"/>
        </w:trPr>
        <w:tc>
          <w:tcPr>
            <w:tcW w:w="7308" w:type="dxa"/>
          </w:tcPr>
          <w:p w14:paraId="33C232DE" w14:textId="77777777" w:rsidR="00D324AC" w:rsidRDefault="00000000">
            <w:pPr>
              <w:spacing w:after="0"/>
            </w:pPr>
            <w:r>
              <w:rPr>
                <w:sz w:val="20"/>
              </w:rPr>
              <w:t>Move transactional email to SendGrid</w:t>
            </w:r>
          </w:p>
          <w:p w14:paraId="3C263F32" w14:textId="77777777" w:rsidR="00D324AC" w:rsidRDefault="00000000">
            <w:pPr>
              <w:spacing w:before="20" w:after="0"/>
            </w:pPr>
            <w:r>
              <w:rPr>
                <w:i/>
                <w:color w:val="6B7A72"/>
                <w:sz w:val="17"/>
              </w:rPr>
              <w:t>Twelve notification emails onto SendGrid dynamic templates you author yourselves, the Contact-Us form, the account emails onto SendGrid delivery, plus a short guide for writing the templates.</w:t>
            </w:r>
          </w:p>
        </w:tc>
        <w:tc>
          <w:tcPr>
            <w:tcW w:w="4122" w:type="dxa"/>
          </w:tcPr>
          <w:p w14:paraId="2253451F" w14:textId="77777777" w:rsidR="00D324AC" w:rsidRDefault="00000000">
            <w:pPr>
              <w:spacing w:after="0"/>
              <w:jc w:val="right"/>
            </w:pPr>
            <w:r>
              <w:rPr>
                <w:sz w:val="20"/>
              </w:rPr>
              <w:t>6.5</w:t>
            </w:r>
          </w:p>
        </w:tc>
      </w:tr>
      <w:tr w:rsidR="00D324AC" w14:paraId="4D5C793F" w14:textId="77777777" w:rsidTr="00E04700">
        <w:trPr>
          <w:jc w:val="center"/>
        </w:trPr>
        <w:tc>
          <w:tcPr>
            <w:tcW w:w="7308" w:type="dxa"/>
          </w:tcPr>
          <w:p w14:paraId="6D9E74E5" w14:textId="77777777" w:rsidR="00D324AC" w:rsidRDefault="00000000">
            <w:pPr>
              <w:spacing w:after="0"/>
            </w:pPr>
            <w:r>
              <w:rPr>
                <w:sz w:val="20"/>
              </w:rPr>
              <w:t>Platform bps editable per brokerage in the admin portal</w:t>
            </w:r>
          </w:p>
          <w:p w14:paraId="72F775FE" w14:textId="77777777" w:rsidR="00D324AC" w:rsidRDefault="00000000">
            <w:pPr>
              <w:spacing w:before="20" w:after="0"/>
            </w:pPr>
            <w:r>
              <w:rPr>
                <w:i/>
                <w:color w:val="6B7A72"/>
                <w:sz w:val="17"/>
              </w:rPr>
              <w:t>Applies to every invoice created after the change; invoices already issued are untouched.</w:t>
            </w:r>
          </w:p>
        </w:tc>
        <w:tc>
          <w:tcPr>
            <w:tcW w:w="4122" w:type="dxa"/>
          </w:tcPr>
          <w:p w14:paraId="1A767468" w14:textId="77777777" w:rsidR="00D324AC" w:rsidRDefault="00000000">
            <w:pPr>
              <w:spacing w:after="0"/>
              <w:jc w:val="right"/>
            </w:pPr>
            <w:r>
              <w:rPr>
                <w:sz w:val="20"/>
              </w:rPr>
              <w:t>4.5</w:t>
            </w:r>
          </w:p>
        </w:tc>
      </w:tr>
      <w:tr w:rsidR="00D324AC" w14:paraId="16888A7E" w14:textId="77777777" w:rsidTr="00E04700">
        <w:trPr>
          <w:jc w:val="center"/>
        </w:trPr>
        <w:tc>
          <w:tcPr>
            <w:tcW w:w="7308" w:type="dxa"/>
          </w:tcPr>
          <w:p w14:paraId="6FA439F4" w14:textId="77777777" w:rsidR="00D324AC" w:rsidRDefault="00000000">
            <w:pPr>
              <w:spacing w:after="0"/>
            </w:pPr>
            <w:r>
              <w:rPr>
                <w:sz w:val="20"/>
              </w:rPr>
              <w:t>“Which lender declined the loan?” dropdown, with the owned-group rule</w:t>
            </w:r>
          </w:p>
          <w:p w14:paraId="0A503E34" w14:textId="77777777" w:rsidR="00D324AC" w:rsidRDefault="00000000">
            <w:pPr>
              <w:spacing w:before="20" w:after="0"/>
            </w:pPr>
            <w:r>
              <w:rPr>
                <w:i/>
                <w:color w:val="6B7A72"/>
                <w:sz w:val="17"/>
              </w:rPr>
              <w:t>Required unless “Lender not shown” is ticked; the named lender cannot see the deal, and selecting RMG, MERIX or MCAP hides it from all three. Built so you can maintain the group list yourselves.</w:t>
            </w:r>
          </w:p>
        </w:tc>
        <w:tc>
          <w:tcPr>
            <w:tcW w:w="4122" w:type="dxa"/>
          </w:tcPr>
          <w:p w14:paraId="436F0E68" w14:textId="77777777" w:rsidR="00D324AC" w:rsidRDefault="00000000">
            <w:pPr>
              <w:spacing w:after="0"/>
              <w:jc w:val="right"/>
            </w:pPr>
            <w:r>
              <w:rPr>
                <w:sz w:val="20"/>
              </w:rPr>
              <w:t>5</w:t>
            </w:r>
          </w:p>
        </w:tc>
      </w:tr>
      <w:tr w:rsidR="00D324AC" w14:paraId="0DC30D7F" w14:textId="77777777" w:rsidTr="00E04700">
        <w:trPr>
          <w:jc w:val="center"/>
        </w:trPr>
        <w:tc>
          <w:tcPr>
            <w:tcW w:w="7308" w:type="dxa"/>
          </w:tcPr>
          <w:p w14:paraId="0F35CE08" w14:textId="77777777" w:rsidR="00D324AC" w:rsidRDefault="00000000">
            <w:pPr>
              <w:spacing w:after="0"/>
            </w:pPr>
            <w:r>
              <w:rPr>
                <w:sz w:val="20"/>
              </w:rPr>
              <w:t>One offer per lender institution</w:t>
            </w:r>
          </w:p>
          <w:p w14:paraId="1E2DBC9C" w14:textId="77777777" w:rsidR="00D324AC" w:rsidRDefault="00000000">
            <w:pPr>
              <w:spacing w:before="20" w:after="0"/>
            </w:pPr>
            <w:r>
              <w:rPr>
                <w:i/>
                <w:color w:val="6B7A72"/>
                <w:sz w:val="17"/>
              </w:rPr>
              <w:lastRenderedPageBreak/>
              <w:t>Once any user at a lender offers, the deal leaves their colleagues’ New and Maturing lists.</w:t>
            </w:r>
          </w:p>
        </w:tc>
        <w:tc>
          <w:tcPr>
            <w:tcW w:w="4122" w:type="dxa"/>
          </w:tcPr>
          <w:p w14:paraId="5BA96CE2" w14:textId="77777777" w:rsidR="00D324AC" w:rsidRDefault="00000000">
            <w:pPr>
              <w:spacing w:after="0"/>
              <w:jc w:val="right"/>
            </w:pPr>
            <w:r>
              <w:rPr>
                <w:sz w:val="20"/>
              </w:rPr>
              <w:lastRenderedPageBreak/>
              <w:t>2</w:t>
            </w:r>
          </w:p>
        </w:tc>
      </w:tr>
      <w:tr w:rsidR="00D324AC" w14:paraId="29DA1C74" w14:textId="77777777" w:rsidTr="00E04700">
        <w:trPr>
          <w:jc w:val="center"/>
        </w:trPr>
        <w:tc>
          <w:tcPr>
            <w:tcW w:w="7308" w:type="dxa"/>
            <w:shd w:val="clear" w:color="auto" w:fill="E2ECE5"/>
          </w:tcPr>
          <w:p w14:paraId="0EE96A20" w14:textId="77777777" w:rsidR="00D324AC" w:rsidRDefault="00000000">
            <w:pPr>
              <w:spacing w:after="0"/>
            </w:pPr>
            <w:r>
              <w:rPr>
                <w:b/>
                <w:sz w:val="20"/>
              </w:rPr>
              <w:t>Subtotal — Phase 2</w:t>
            </w:r>
          </w:p>
        </w:tc>
        <w:tc>
          <w:tcPr>
            <w:tcW w:w="4122" w:type="dxa"/>
            <w:shd w:val="clear" w:color="auto" w:fill="E2ECE5"/>
          </w:tcPr>
          <w:p w14:paraId="2B990ED0" w14:textId="77777777" w:rsidR="00D324AC" w:rsidRDefault="00000000">
            <w:pPr>
              <w:spacing w:after="0"/>
              <w:jc w:val="right"/>
            </w:pPr>
            <w:r>
              <w:rPr>
                <w:b/>
                <w:sz w:val="20"/>
              </w:rPr>
              <w:t>18 h</w:t>
            </w:r>
          </w:p>
        </w:tc>
      </w:tr>
    </w:tbl>
    <w:p w14:paraId="2F824E48" w14:textId="77777777" w:rsidR="00D324AC" w:rsidRDefault="00D324AC">
      <w:pPr>
        <w:spacing w:after="40"/>
      </w:pPr>
    </w:p>
    <w:p w14:paraId="3501E637" w14:textId="77777777" w:rsidR="00D324AC" w:rsidRDefault="00000000">
      <w:pPr>
        <w:spacing w:before="280"/>
      </w:pPr>
      <w:r>
        <w:rPr>
          <w:rFonts w:ascii="Georgia" w:hAnsi="Georgia"/>
          <w:b/>
          <w:sz w:val="25"/>
        </w:rPr>
        <w:t>Phase 3 — Suspensions and the Resources section</w:t>
      </w:r>
    </w:p>
    <w:tbl>
      <w:tblPr>
        <w:tblStyle w:val="Tablaconcuadrcula"/>
        <w:tblW w:w="11520" w:type="dxa"/>
        <w:jc w:val="center"/>
        <w:tblLayout w:type="fixed"/>
        <w:tblLook w:val="04A0" w:firstRow="1" w:lastRow="0" w:firstColumn="1" w:lastColumn="0" w:noHBand="0" w:noVBand="1"/>
      </w:tblPr>
      <w:tblGrid>
        <w:gridCol w:w="7308"/>
        <w:gridCol w:w="4212"/>
      </w:tblGrid>
      <w:tr w:rsidR="00D324AC" w14:paraId="0500A00E" w14:textId="77777777" w:rsidTr="00E04700">
        <w:trPr>
          <w:jc w:val="center"/>
        </w:trPr>
        <w:tc>
          <w:tcPr>
            <w:tcW w:w="7308" w:type="dxa"/>
            <w:shd w:val="clear" w:color="auto" w:fill="ECEEE8"/>
          </w:tcPr>
          <w:p w14:paraId="24E99F74" w14:textId="77777777" w:rsidR="00D324AC" w:rsidRDefault="00000000">
            <w:pPr>
              <w:spacing w:after="40"/>
            </w:pPr>
            <w:r>
              <w:rPr>
                <w:b/>
                <w:color w:val="6B7A72"/>
                <w:sz w:val="17"/>
              </w:rPr>
              <w:t>Requested change</w:t>
            </w:r>
          </w:p>
        </w:tc>
        <w:tc>
          <w:tcPr>
            <w:tcW w:w="4212" w:type="dxa"/>
            <w:shd w:val="clear" w:color="auto" w:fill="ECEEE8"/>
          </w:tcPr>
          <w:p w14:paraId="3196E5F4" w14:textId="77777777" w:rsidR="00D324AC" w:rsidRDefault="00000000">
            <w:pPr>
              <w:spacing w:after="40"/>
              <w:jc w:val="right"/>
            </w:pPr>
            <w:r>
              <w:rPr>
                <w:b/>
                <w:color w:val="6B7A72"/>
                <w:sz w:val="17"/>
              </w:rPr>
              <w:t>Hours</w:t>
            </w:r>
          </w:p>
        </w:tc>
      </w:tr>
      <w:tr w:rsidR="00D324AC" w14:paraId="3D950CA0" w14:textId="77777777" w:rsidTr="00E04700">
        <w:trPr>
          <w:jc w:val="center"/>
        </w:trPr>
        <w:tc>
          <w:tcPr>
            <w:tcW w:w="7308" w:type="dxa"/>
          </w:tcPr>
          <w:p w14:paraId="0408E778" w14:textId="77777777" w:rsidR="00D324AC" w:rsidRDefault="00000000">
            <w:pPr>
              <w:spacing w:after="0"/>
            </w:pPr>
            <w:r>
              <w:rPr>
                <w:sz w:val="20"/>
              </w:rPr>
              <w:t>Broker and lender suspension</w:t>
            </w:r>
          </w:p>
          <w:p w14:paraId="64A4AAC7" w14:textId="77777777" w:rsidR="00D324AC" w:rsidRDefault="00000000">
            <w:pPr>
              <w:spacing w:before="20" w:after="0"/>
            </w:pPr>
            <w:r>
              <w:rPr>
                <w:i/>
                <w:color w:val="6B7A72"/>
                <w:sz w:val="17"/>
              </w:rPr>
              <w:t>Manual suspend and reinstate from the admin portal, automatic suspension after three contact-sharing attempts, a record of when and why each suspension happened, and the visibility rules on both sides.</w:t>
            </w:r>
          </w:p>
        </w:tc>
        <w:tc>
          <w:tcPr>
            <w:tcW w:w="4212" w:type="dxa"/>
          </w:tcPr>
          <w:p w14:paraId="1C387960" w14:textId="77777777" w:rsidR="00D324AC" w:rsidRDefault="00000000">
            <w:pPr>
              <w:spacing w:after="0"/>
              <w:jc w:val="right"/>
            </w:pPr>
            <w:r>
              <w:rPr>
                <w:sz w:val="20"/>
              </w:rPr>
              <w:t>8.5</w:t>
            </w:r>
          </w:p>
        </w:tc>
      </w:tr>
      <w:tr w:rsidR="00D324AC" w14:paraId="57821672" w14:textId="77777777" w:rsidTr="00E04700">
        <w:trPr>
          <w:jc w:val="center"/>
        </w:trPr>
        <w:tc>
          <w:tcPr>
            <w:tcW w:w="7308" w:type="dxa"/>
          </w:tcPr>
          <w:p w14:paraId="1A122B2C" w14:textId="77777777" w:rsidR="00D324AC" w:rsidRDefault="00000000">
            <w:pPr>
              <w:spacing w:after="0"/>
            </w:pPr>
            <w:r>
              <w:rPr>
                <w:sz w:val="20"/>
              </w:rPr>
              <w:t>Resources section, published from the admin portal</w:t>
            </w:r>
          </w:p>
          <w:p w14:paraId="460EF0AE" w14:textId="77777777" w:rsidR="00D324AC" w:rsidRDefault="00000000">
            <w:pPr>
              <w:spacing w:before="20" w:after="0"/>
            </w:pPr>
            <w:r>
              <w:rPr>
                <w:i/>
                <w:color w:val="6B7A72"/>
                <w:sz w:val="17"/>
              </w:rPr>
              <w:t>New tab in the broker and lender headers, with the editor you already use for the legal pages.</w:t>
            </w:r>
          </w:p>
        </w:tc>
        <w:tc>
          <w:tcPr>
            <w:tcW w:w="4212" w:type="dxa"/>
          </w:tcPr>
          <w:p w14:paraId="463417CE" w14:textId="77777777" w:rsidR="00D324AC" w:rsidRDefault="00000000">
            <w:pPr>
              <w:spacing w:after="0"/>
              <w:jc w:val="right"/>
            </w:pPr>
            <w:r>
              <w:rPr>
                <w:sz w:val="20"/>
              </w:rPr>
              <w:t>6.5</w:t>
            </w:r>
          </w:p>
        </w:tc>
      </w:tr>
      <w:tr w:rsidR="00D324AC" w14:paraId="78B55D7A" w14:textId="77777777" w:rsidTr="00E04700">
        <w:trPr>
          <w:jc w:val="center"/>
        </w:trPr>
        <w:tc>
          <w:tcPr>
            <w:tcW w:w="7308" w:type="dxa"/>
            <w:shd w:val="clear" w:color="auto" w:fill="E2ECE5"/>
          </w:tcPr>
          <w:p w14:paraId="34A400BC" w14:textId="77777777" w:rsidR="00D324AC" w:rsidRDefault="00000000">
            <w:pPr>
              <w:spacing w:after="0"/>
            </w:pPr>
            <w:r>
              <w:rPr>
                <w:b/>
                <w:sz w:val="20"/>
              </w:rPr>
              <w:t>Subtotal — Phase 3</w:t>
            </w:r>
          </w:p>
        </w:tc>
        <w:tc>
          <w:tcPr>
            <w:tcW w:w="4212" w:type="dxa"/>
            <w:shd w:val="clear" w:color="auto" w:fill="E2ECE5"/>
          </w:tcPr>
          <w:p w14:paraId="12BD06AA" w14:textId="77777777" w:rsidR="00D324AC" w:rsidRDefault="00000000">
            <w:pPr>
              <w:spacing w:after="0"/>
              <w:jc w:val="right"/>
            </w:pPr>
            <w:r>
              <w:rPr>
                <w:b/>
                <w:sz w:val="20"/>
              </w:rPr>
              <w:t>15 h</w:t>
            </w:r>
          </w:p>
        </w:tc>
      </w:tr>
    </w:tbl>
    <w:p w14:paraId="60D01A96" w14:textId="77777777" w:rsidR="00D324AC" w:rsidRDefault="00D324AC">
      <w:pPr>
        <w:spacing w:after="40"/>
      </w:pPr>
    </w:p>
    <w:p w14:paraId="2A98E3B4" w14:textId="77777777" w:rsidR="00D324AC" w:rsidRDefault="00000000">
      <w:pPr>
        <w:spacing w:before="280"/>
      </w:pPr>
      <w:r>
        <w:rPr>
          <w:rFonts w:ascii="Georgia" w:hAnsi="Georgia"/>
          <w:b/>
          <w:sz w:val="25"/>
        </w:rPr>
        <w:t>Phase 4 — Rental income and the document-requirements list</w:t>
      </w:r>
    </w:p>
    <w:tbl>
      <w:tblPr>
        <w:tblStyle w:val="Tablaconcuadrcula"/>
        <w:tblW w:w="11520" w:type="dxa"/>
        <w:jc w:val="center"/>
        <w:tblLayout w:type="fixed"/>
        <w:tblLook w:val="04A0" w:firstRow="1" w:lastRow="0" w:firstColumn="1" w:lastColumn="0" w:noHBand="0" w:noVBand="1"/>
      </w:tblPr>
      <w:tblGrid>
        <w:gridCol w:w="7308"/>
        <w:gridCol w:w="4212"/>
      </w:tblGrid>
      <w:tr w:rsidR="00D324AC" w14:paraId="070552C0" w14:textId="77777777" w:rsidTr="00E04700">
        <w:trPr>
          <w:jc w:val="center"/>
        </w:trPr>
        <w:tc>
          <w:tcPr>
            <w:tcW w:w="7308" w:type="dxa"/>
            <w:shd w:val="clear" w:color="auto" w:fill="ECEEE8"/>
          </w:tcPr>
          <w:p w14:paraId="466449DB" w14:textId="77777777" w:rsidR="00D324AC" w:rsidRDefault="00000000">
            <w:pPr>
              <w:spacing w:after="40"/>
            </w:pPr>
            <w:r>
              <w:rPr>
                <w:b/>
                <w:color w:val="6B7A72"/>
                <w:sz w:val="17"/>
              </w:rPr>
              <w:t>Requested change</w:t>
            </w:r>
          </w:p>
        </w:tc>
        <w:tc>
          <w:tcPr>
            <w:tcW w:w="4212" w:type="dxa"/>
            <w:shd w:val="clear" w:color="auto" w:fill="ECEEE8"/>
          </w:tcPr>
          <w:p w14:paraId="10722BC1" w14:textId="77777777" w:rsidR="00D324AC" w:rsidRDefault="00000000">
            <w:pPr>
              <w:spacing w:after="40"/>
              <w:jc w:val="right"/>
            </w:pPr>
            <w:r>
              <w:rPr>
                <w:b/>
                <w:color w:val="6B7A72"/>
                <w:sz w:val="17"/>
              </w:rPr>
              <w:t>Hours</w:t>
            </w:r>
          </w:p>
        </w:tc>
      </w:tr>
      <w:tr w:rsidR="00D324AC" w14:paraId="353336FA" w14:textId="77777777" w:rsidTr="00E04700">
        <w:trPr>
          <w:jc w:val="center"/>
        </w:trPr>
        <w:tc>
          <w:tcPr>
            <w:tcW w:w="7308" w:type="dxa"/>
          </w:tcPr>
          <w:p w14:paraId="724435BC" w14:textId="77777777" w:rsidR="00D324AC" w:rsidRDefault="00000000">
            <w:pPr>
              <w:spacing w:after="0"/>
            </w:pPr>
            <w:r>
              <w:rPr>
                <w:sz w:val="20"/>
              </w:rPr>
              <w:t>Rental-income qualification module</w:t>
            </w:r>
          </w:p>
          <w:p w14:paraId="3DCE7105" w14:textId="77777777" w:rsidR="00D324AC" w:rsidRDefault="00000000">
            <w:pPr>
              <w:spacing w:before="20" w:after="0"/>
            </w:pPr>
            <w:r>
              <w:rPr>
                <w:i/>
                <w:color w:val="6B7A72"/>
                <w:sz w:val="17"/>
              </w:rPr>
              <w:t>The three rental categories, the 39/44 and 55/55 variants by transaction type, legal and non-legal suite, addback and offset, the percentage tiers with the automatic cascade, and the lender’s maximum addback and offset criteria.</w:t>
            </w:r>
          </w:p>
        </w:tc>
        <w:tc>
          <w:tcPr>
            <w:tcW w:w="4212" w:type="dxa"/>
          </w:tcPr>
          <w:p w14:paraId="33D2B33F" w14:textId="77777777" w:rsidR="00D324AC" w:rsidRDefault="00000000">
            <w:pPr>
              <w:spacing w:after="0"/>
              <w:jc w:val="right"/>
            </w:pPr>
            <w:r>
              <w:rPr>
                <w:sz w:val="20"/>
              </w:rPr>
              <w:t>9</w:t>
            </w:r>
          </w:p>
        </w:tc>
      </w:tr>
      <w:tr w:rsidR="00D324AC" w14:paraId="7B0F86D1" w14:textId="77777777" w:rsidTr="00E04700">
        <w:trPr>
          <w:jc w:val="center"/>
        </w:trPr>
        <w:tc>
          <w:tcPr>
            <w:tcW w:w="7308" w:type="dxa"/>
          </w:tcPr>
          <w:p w14:paraId="08D0EC6A" w14:textId="77777777" w:rsidR="00D324AC" w:rsidRDefault="00000000">
            <w:pPr>
              <w:spacing w:after="0"/>
            </w:pPr>
            <w:r>
              <w:rPr>
                <w:sz w:val="20"/>
              </w:rPr>
              <w:t>Document-requirements list shown on submission</w:t>
            </w:r>
          </w:p>
          <w:p w14:paraId="520A5EF2" w14:textId="77777777" w:rsidR="00D324AC" w:rsidRDefault="00000000">
            <w:pPr>
              <w:spacing w:before="20" w:after="0"/>
            </w:pPr>
            <w:r>
              <w:rPr>
                <w:i/>
                <w:color w:val="6B7A72"/>
                <w:sz w:val="17"/>
              </w:rPr>
              <w:t>All thirty-five conditional rules from your attachment, driven by what the broker entered, re-openable from the Deal Room and printable.</w:t>
            </w:r>
          </w:p>
        </w:tc>
        <w:tc>
          <w:tcPr>
            <w:tcW w:w="4212" w:type="dxa"/>
          </w:tcPr>
          <w:p w14:paraId="72E94BD8" w14:textId="77777777" w:rsidR="00D324AC" w:rsidRDefault="00000000">
            <w:pPr>
              <w:spacing w:after="0"/>
              <w:jc w:val="right"/>
            </w:pPr>
            <w:r>
              <w:rPr>
                <w:sz w:val="20"/>
              </w:rPr>
              <w:t>8</w:t>
            </w:r>
          </w:p>
        </w:tc>
      </w:tr>
      <w:tr w:rsidR="00D324AC" w14:paraId="6411D5C4" w14:textId="77777777" w:rsidTr="00E04700">
        <w:trPr>
          <w:jc w:val="center"/>
        </w:trPr>
        <w:tc>
          <w:tcPr>
            <w:tcW w:w="7308" w:type="dxa"/>
            <w:shd w:val="clear" w:color="auto" w:fill="E2ECE5"/>
          </w:tcPr>
          <w:p w14:paraId="1DB3E8C1" w14:textId="77777777" w:rsidR="00D324AC" w:rsidRDefault="00000000">
            <w:pPr>
              <w:spacing w:after="0"/>
            </w:pPr>
            <w:r>
              <w:rPr>
                <w:b/>
                <w:sz w:val="20"/>
              </w:rPr>
              <w:t>Subtotal — Phase 4</w:t>
            </w:r>
          </w:p>
        </w:tc>
        <w:tc>
          <w:tcPr>
            <w:tcW w:w="4212" w:type="dxa"/>
            <w:shd w:val="clear" w:color="auto" w:fill="E2ECE5"/>
          </w:tcPr>
          <w:p w14:paraId="19F4EC16" w14:textId="77777777" w:rsidR="00D324AC" w:rsidRDefault="00000000">
            <w:pPr>
              <w:spacing w:after="0"/>
              <w:jc w:val="right"/>
            </w:pPr>
            <w:r>
              <w:rPr>
                <w:b/>
                <w:sz w:val="20"/>
              </w:rPr>
              <w:t>17 h</w:t>
            </w:r>
          </w:p>
        </w:tc>
      </w:tr>
    </w:tbl>
    <w:p w14:paraId="1B42AEE0" w14:textId="77777777" w:rsidR="00D324AC" w:rsidRDefault="00D324AC">
      <w:pPr>
        <w:spacing w:after="40"/>
      </w:pPr>
    </w:p>
    <w:p w14:paraId="683B85B7" w14:textId="77777777" w:rsidR="00D324AC" w:rsidRDefault="00000000">
      <w:pPr>
        <w:spacing w:before="280"/>
      </w:pPr>
      <w:r>
        <w:rPr>
          <w:rFonts w:ascii="Georgia" w:hAnsi="Georgia"/>
          <w:b/>
          <w:sz w:val="25"/>
        </w:rPr>
        <w:t>Phase 5 — AI lender notes and invoicing</w:t>
      </w:r>
    </w:p>
    <w:tbl>
      <w:tblPr>
        <w:tblStyle w:val="Tablaconcuadrcula"/>
        <w:tblW w:w="11520" w:type="dxa"/>
        <w:jc w:val="center"/>
        <w:tblLayout w:type="fixed"/>
        <w:tblLook w:val="04A0" w:firstRow="1" w:lastRow="0" w:firstColumn="1" w:lastColumn="0" w:noHBand="0" w:noVBand="1"/>
      </w:tblPr>
      <w:tblGrid>
        <w:gridCol w:w="7308"/>
        <w:gridCol w:w="4212"/>
      </w:tblGrid>
      <w:tr w:rsidR="00D324AC" w14:paraId="2F385F43" w14:textId="77777777" w:rsidTr="00E04700">
        <w:trPr>
          <w:jc w:val="center"/>
        </w:trPr>
        <w:tc>
          <w:tcPr>
            <w:tcW w:w="7308" w:type="dxa"/>
            <w:shd w:val="clear" w:color="auto" w:fill="ECEEE8"/>
          </w:tcPr>
          <w:p w14:paraId="4E859C1D" w14:textId="77777777" w:rsidR="00D324AC" w:rsidRDefault="00000000">
            <w:pPr>
              <w:spacing w:after="40"/>
            </w:pPr>
            <w:r>
              <w:rPr>
                <w:b/>
                <w:color w:val="6B7A72"/>
                <w:sz w:val="17"/>
              </w:rPr>
              <w:t>Requested change</w:t>
            </w:r>
          </w:p>
        </w:tc>
        <w:tc>
          <w:tcPr>
            <w:tcW w:w="4212" w:type="dxa"/>
            <w:shd w:val="clear" w:color="auto" w:fill="ECEEE8"/>
          </w:tcPr>
          <w:p w14:paraId="76C2EE2E" w14:textId="77777777" w:rsidR="00D324AC" w:rsidRDefault="00000000">
            <w:pPr>
              <w:spacing w:after="40"/>
              <w:jc w:val="right"/>
            </w:pPr>
            <w:r>
              <w:rPr>
                <w:b/>
                <w:color w:val="6B7A72"/>
                <w:sz w:val="17"/>
              </w:rPr>
              <w:t>Hours</w:t>
            </w:r>
          </w:p>
        </w:tc>
      </w:tr>
      <w:tr w:rsidR="00D324AC" w14:paraId="1FE7C958" w14:textId="77777777" w:rsidTr="00E04700">
        <w:trPr>
          <w:jc w:val="center"/>
        </w:trPr>
        <w:tc>
          <w:tcPr>
            <w:tcW w:w="7308" w:type="dxa"/>
          </w:tcPr>
          <w:p w14:paraId="20AB4D42" w14:textId="77777777" w:rsidR="00D324AC" w:rsidRDefault="00000000">
            <w:pPr>
              <w:spacing w:after="0"/>
            </w:pPr>
            <w:r>
              <w:rPr>
                <w:sz w:val="20"/>
              </w:rPr>
              <w:t>AI-generated lender notes on acceptance</w:t>
            </w:r>
          </w:p>
          <w:p w14:paraId="66BF8E21" w14:textId="77777777" w:rsidR="00D324AC" w:rsidRDefault="00000000">
            <w:pPr>
              <w:spacing w:before="20" w:after="0"/>
            </w:pPr>
            <w:r>
              <w:rPr>
                <w:i/>
                <w:color w:val="6B7A72"/>
                <w:sz w:val="17"/>
              </w:rPr>
              <w:t>Your eleven sections in order, the broker’s own notes folded into the right section, your disclaimer above and the fixed closing paragraph left untouched, with a copy button. Property enrichment is excluded — see section 3.</w:t>
            </w:r>
          </w:p>
        </w:tc>
        <w:tc>
          <w:tcPr>
            <w:tcW w:w="4212" w:type="dxa"/>
          </w:tcPr>
          <w:p w14:paraId="5DBC67D2" w14:textId="77777777" w:rsidR="00D324AC" w:rsidRDefault="00000000">
            <w:pPr>
              <w:spacing w:after="0"/>
              <w:jc w:val="right"/>
            </w:pPr>
            <w:r>
              <w:rPr>
                <w:sz w:val="20"/>
              </w:rPr>
              <w:t>6.5</w:t>
            </w:r>
          </w:p>
        </w:tc>
      </w:tr>
      <w:tr w:rsidR="00D324AC" w14:paraId="6EA71EDC" w14:textId="77777777" w:rsidTr="00E04700">
        <w:trPr>
          <w:jc w:val="center"/>
        </w:trPr>
        <w:tc>
          <w:tcPr>
            <w:tcW w:w="7308" w:type="dxa"/>
          </w:tcPr>
          <w:p w14:paraId="1A23F795" w14:textId="77777777" w:rsidR="00D324AC" w:rsidRDefault="00000000">
            <w:pPr>
              <w:spacing w:after="0"/>
            </w:pPr>
            <w:r>
              <w:rPr>
                <w:sz w:val="20"/>
              </w:rPr>
              <w:t>Admin-editable invoice template</w:t>
            </w:r>
          </w:p>
          <w:p w14:paraId="70DDD4F6" w14:textId="77777777" w:rsidR="00D324AC" w:rsidRDefault="00000000">
            <w:pPr>
              <w:spacing w:before="20" w:after="0"/>
            </w:pPr>
            <w:r>
              <w:rPr>
                <w:i/>
                <w:color w:val="6B7A72"/>
                <w:sz w:val="17"/>
              </w:rPr>
              <w:t>Header, payment terms, tax and registration lines, remittance wording and footer, edited in the admin portal with a live preview.</w:t>
            </w:r>
          </w:p>
        </w:tc>
        <w:tc>
          <w:tcPr>
            <w:tcW w:w="4212" w:type="dxa"/>
          </w:tcPr>
          <w:p w14:paraId="093FC64D" w14:textId="77777777" w:rsidR="00D324AC" w:rsidRDefault="00000000">
            <w:pPr>
              <w:spacing w:after="0"/>
              <w:jc w:val="right"/>
            </w:pPr>
            <w:r>
              <w:rPr>
                <w:sz w:val="20"/>
              </w:rPr>
              <w:t>5</w:t>
            </w:r>
          </w:p>
        </w:tc>
      </w:tr>
      <w:tr w:rsidR="00D324AC" w14:paraId="2C298A87" w14:textId="77777777" w:rsidTr="00E04700">
        <w:trPr>
          <w:jc w:val="center"/>
        </w:trPr>
        <w:tc>
          <w:tcPr>
            <w:tcW w:w="7308" w:type="dxa"/>
          </w:tcPr>
          <w:p w14:paraId="1C57C22E" w14:textId="77777777" w:rsidR="00D324AC" w:rsidRDefault="00000000">
            <w:pPr>
              <w:spacing w:after="0"/>
            </w:pPr>
            <w:r>
              <w:rPr>
                <w:sz w:val="20"/>
              </w:rPr>
              <w:t>Sales tax by province and territory</w:t>
            </w:r>
          </w:p>
          <w:p w14:paraId="6DC113AF" w14:textId="77777777" w:rsidR="00D324AC" w:rsidRDefault="00000000">
            <w:pPr>
              <w:spacing w:before="20" w:after="0"/>
            </w:pPr>
            <w:r>
              <w:rPr>
                <w:i/>
                <w:color w:val="6B7A72"/>
                <w:sz w:val="17"/>
              </w:rPr>
              <w:t>An editable rate table, the registration numbers printed on the invoice, subtotal/tax/total on the PDF, and capturing a billing province for each lender — which the platform does not record today.</w:t>
            </w:r>
          </w:p>
        </w:tc>
        <w:tc>
          <w:tcPr>
            <w:tcW w:w="4212" w:type="dxa"/>
          </w:tcPr>
          <w:p w14:paraId="231D0A86" w14:textId="77777777" w:rsidR="00D324AC" w:rsidRDefault="00000000">
            <w:pPr>
              <w:spacing w:after="0"/>
              <w:jc w:val="right"/>
            </w:pPr>
            <w:r>
              <w:rPr>
                <w:sz w:val="20"/>
              </w:rPr>
              <w:t>7.5</w:t>
            </w:r>
          </w:p>
        </w:tc>
      </w:tr>
      <w:tr w:rsidR="00D324AC" w14:paraId="7DAAE5F9" w14:textId="77777777" w:rsidTr="00E04700">
        <w:trPr>
          <w:jc w:val="center"/>
        </w:trPr>
        <w:tc>
          <w:tcPr>
            <w:tcW w:w="7308" w:type="dxa"/>
            <w:shd w:val="clear" w:color="auto" w:fill="E2ECE5"/>
          </w:tcPr>
          <w:p w14:paraId="50B41A55" w14:textId="77777777" w:rsidR="00D324AC" w:rsidRDefault="00000000">
            <w:pPr>
              <w:spacing w:after="0"/>
            </w:pPr>
            <w:r>
              <w:rPr>
                <w:b/>
                <w:sz w:val="20"/>
              </w:rPr>
              <w:t>Subtotal — Phase 5</w:t>
            </w:r>
          </w:p>
        </w:tc>
        <w:tc>
          <w:tcPr>
            <w:tcW w:w="4212" w:type="dxa"/>
            <w:shd w:val="clear" w:color="auto" w:fill="E2ECE5"/>
          </w:tcPr>
          <w:p w14:paraId="28631F0C" w14:textId="77777777" w:rsidR="00D324AC" w:rsidRDefault="00000000">
            <w:pPr>
              <w:spacing w:after="0"/>
              <w:jc w:val="right"/>
            </w:pPr>
            <w:r>
              <w:rPr>
                <w:b/>
                <w:sz w:val="20"/>
              </w:rPr>
              <w:t>19 h</w:t>
            </w:r>
          </w:p>
        </w:tc>
      </w:tr>
    </w:tbl>
    <w:p w14:paraId="204580C3" w14:textId="77777777" w:rsidR="00D324AC" w:rsidRDefault="00D324AC">
      <w:pPr>
        <w:spacing w:after="40"/>
      </w:pPr>
    </w:p>
    <w:p w14:paraId="256983B2" w14:textId="77777777" w:rsidR="00D324AC" w:rsidRDefault="00000000">
      <w:pPr>
        <w:spacing w:before="280"/>
      </w:pPr>
      <w:r>
        <w:rPr>
          <w:rFonts w:ascii="Georgia" w:hAnsi="Georgia"/>
          <w:b/>
          <w:sz w:val="25"/>
        </w:rPr>
        <w:t>Across all phases</w:t>
      </w:r>
    </w:p>
    <w:tbl>
      <w:tblPr>
        <w:tblStyle w:val="Tablaconcuadrcula"/>
        <w:tblW w:w="11520" w:type="dxa"/>
        <w:jc w:val="center"/>
        <w:tblLayout w:type="fixed"/>
        <w:tblLook w:val="04A0" w:firstRow="1" w:lastRow="0" w:firstColumn="1" w:lastColumn="0" w:noHBand="0" w:noVBand="1"/>
      </w:tblPr>
      <w:tblGrid>
        <w:gridCol w:w="7308"/>
        <w:gridCol w:w="4212"/>
      </w:tblGrid>
      <w:tr w:rsidR="00D324AC" w14:paraId="05A06073" w14:textId="77777777" w:rsidTr="00E04700">
        <w:trPr>
          <w:jc w:val="center"/>
        </w:trPr>
        <w:tc>
          <w:tcPr>
            <w:tcW w:w="7308" w:type="dxa"/>
            <w:shd w:val="clear" w:color="auto" w:fill="ECEEE8"/>
          </w:tcPr>
          <w:p w14:paraId="5BEE08BF" w14:textId="77777777" w:rsidR="00D324AC" w:rsidRDefault="00000000">
            <w:pPr>
              <w:spacing w:after="40"/>
            </w:pPr>
            <w:r>
              <w:rPr>
                <w:b/>
                <w:color w:val="6B7A72"/>
                <w:sz w:val="17"/>
              </w:rPr>
              <w:t>Requested change</w:t>
            </w:r>
          </w:p>
        </w:tc>
        <w:tc>
          <w:tcPr>
            <w:tcW w:w="4212" w:type="dxa"/>
            <w:shd w:val="clear" w:color="auto" w:fill="ECEEE8"/>
          </w:tcPr>
          <w:p w14:paraId="55D2735B" w14:textId="77777777" w:rsidR="00D324AC" w:rsidRDefault="00000000">
            <w:pPr>
              <w:spacing w:after="40"/>
              <w:jc w:val="right"/>
            </w:pPr>
            <w:r>
              <w:rPr>
                <w:b/>
                <w:color w:val="6B7A72"/>
                <w:sz w:val="17"/>
              </w:rPr>
              <w:t>Hours</w:t>
            </w:r>
          </w:p>
        </w:tc>
      </w:tr>
      <w:tr w:rsidR="00D324AC" w14:paraId="10A38ECE" w14:textId="77777777" w:rsidTr="00E04700">
        <w:trPr>
          <w:jc w:val="center"/>
        </w:trPr>
        <w:tc>
          <w:tcPr>
            <w:tcW w:w="7308" w:type="dxa"/>
          </w:tcPr>
          <w:p w14:paraId="74A0CEF3" w14:textId="77777777" w:rsidR="00D324AC" w:rsidRDefault="00000000">
            <w:pPr>
              <w:spacing w:after="0"/>
            </w:pPr>
            <w:r>
              <w:rPr>
                <w:sz w:val="20"/>
              </w:rPr>
              <w:t>Migrations, bilingual copy, testing and deployment</w:t>
            </w:r>
          </w:p>
          <w:p w14:paraId="583042CD" w14:textId="77777777" w:rsidR="00D324AC" w:rsidRDefault="00000000">
            <w:pPr>
              <w:spacing w:before="20" w:after="0"/>
            </w:pPr>
            <w:r>
              <w:rPr>
                <w:i/>
                <w:color w:val="6B7A72"/>
                <w:sz w:val="17"/>
              </w:rPr>
              <w:lastRenderedPageBreak/>
              <w:t>Database migrations, English and French parity, automated test updates, staging verification and the production deploys for each phase.</w:t>
            </w:r>
          </w:p>
        </w:tc>
        <w:tc>
          <w:tcPr>
            <w:tcW w:w="4212" w:type="dxa"/>
          </w:tcPr>
          <w:p w14:paraId="4E7F9C7F" w14:textId="77777777" w:rsidR="00D324AC" w:rsidRDefault="00000000">
            <w:pPr>
              <w:spacing w:after="0"/>
              <w:jc w:val="right"/>
            </w:pPr>
            <w:r>
              <w:rPr>
                <w:sz w:val="20"/>
              </w:rPr>
              <w:lastRenderedPageBreak/>
              <w:t>5</w:t>
            </w:r>
          </w:p>
        </w:tc>
      </w:tr>
      <w:tr w:rsidR="00D324AC" w14:paraId="519FC3B6" w14:textId="77777777" w:rsidTr="00E04700">
        <w:trPr>
          <w:jc w:val="center"/>
        </w:trPr>
        <w:tc>
          <w:tcPr>
            <w:tcW w:w="7308" w:type="dxa"/>
            <w:shd w:val="clear" w:color="auto" w:fill="E2ECE5"/>
          </w:tcPr>
          <w:p w14:paraId="6DAA2011" w14:textId="77777777" w:rsidR="00D324AC" w:rsidRDefault="00000000">
            <w:pPr>
              <w:spacing w:after="0"/>
            </w:pPr>
            <w:r>
              <w:rPr>
                <w:b/>
                <w:sz w:val="20"/>
              </w:rPr>
              <w:t>Subtotal</w:t>
            </w:r>
          </w:p>
        </w:tc>
        <w:tc>
          <w:tcPr>
            <w:tcW w:w="4212" w:type="dxa"/>
            <w:shd w:val="clear" w:color="auto" w:fill="E2ECE5"/>
          </w:tcPr>
          <w:p w14:paraId="329D24F6" w14:textId="77777777" w:rsidR="00D324AC" w:rsidRDefault="00000000">
            <w:pPr>
              <w:spacing w:after="0"/>
              <w:jc w:val="right"/>
            </w:pPr>
            <w:r>
              <w:rPr>
                <w:b/>
                <w:sz w:val="20"/>
              </w:rPr>
              <w:t>5 h</w:t>
            </w:r>
          </w:p>
        </w:tc>
      </w:tr>
    </w:tbl>
    <w:p w14:paraId="79240EDB" w14:textId="77777777" w:rsidR="00D324AC" w:rsidRDefault="00D324AC">
      <w:pPr>
        <w:spacing w:after="40"/>
      </w:pPr>
    </w:p>
    <w:p w14:paraId="775ADD6B" w14:textId="77777777" w:rsidR="00D324AC" w:rsidRDefault="00000000">
      <w:r>
        <w:br w:type="page"/>
      </w:r>
    </w:p>
    <w:p w14:paraId="73ED476E" w14:textId="77777777" w:rsidR="00D324AC" w:rsidRDefault="00000000">
      <w:pPr>
        <w:spacing w:before="400" w:after="160"/>
      </w:pPr>
      <w:r>
        <w:rPr>
          <w:rFonts w:ascii="Georgia" w:hAnsi="Georgia"/>
          <w:b/>
          <w:color w:val="2E6A4E"/>
          <w:sz w:val="34"/>
        </w:rPr>
        <w:lastRenderedPageBreak/>
        <w:t>3.  Two items we have not priced</w:t>
      </w:r>
    </w:p>
    <w:p w14:paraId="70DA4703" w14:textId="77777777" w:rsidR="00D324AC" w:rsidRDefault="00000000">
      <w:r>
        <w:t>Both are requests we can build. Neither should be quoted as a normal line item, for reasons worth putting in writing before you decide.</w:t>
      </w:r>
    </w:p>
    <w:p w14:paraId="00E32844" w14:textId="77777777" w:rsidR="00D324AC" w:rsidRDefault="00000000">
      <w:pPr>
        <w:spacing w:before="280"/>
      </w:pPr>
      <w:r>
        <w:rPr>
          <w:rFonts w:ascii="Georgia" w:hAnsi="Georgia"/>
          <w:b/>
          <w:sz w:val="25"/>
        </w:rPr>
        <w:t>Showing the broker which lenders declined</w:t>
      </w:r>
    </w:p>
    <w:p w14:paraId="258C7B04" w14:textId="77777777" w:rsidR="00D324AC" w:rsidRDefault="00000000">
      <w:r>
        <w:t>The platform’s central rule is that identities stay hidden until an offer is accepted, and that rule is enforced in the database itself, not just on screen. Revealing which lenders passed on a deal reverses that rule in one direction: brokers would learn lender identities before accepting anyone. We can do it — it is roughly three hours — but it is a product decision about the promise the platform makes to lenders, not an implementation detail, so we would like it confirmed explicitly rather than assumed.</w:t>
      </w:r>
    </w:p>
    <w:p w14:paraId="195818C8" w14:textId="77777777" w:rsidR="00D324AC" w:rsidRDefault="00000000">
      <w:r>
        <w:t>Two smaller alternatives, if the goal is to reassure the broker rather than to name names: a count (“four lenders reviewed this deal and passed”), or the names released only after the deal closes. Also worth clarifying: “no matches in two days” could mean no offers, or no lenders whose filters match — those are different messages.</w:t>
      </w:r>
    </w:p>
    <w:p w14:paraId="63BB64D8" w14:textId="77777777" w:rsidR="00D324AC" w:rsidRDefault="00000000">
      <w:pPr>
        <w:spacing w:before="280"/>
      </w:pPr>
      <w:r>
        <w:rPr>
          <w:rFonts w:ascii="Georgia" w:hAnsi="Georgia"/>
          <w:b/>
          <w:sz w:val="25"/>
        </w:rPr>
        <w:t>Pulling property details from realtor.ca</w:t>
      </w:r>
    </w:p>
    <w:p w14:paraId="27188CCC" w14:textId="77777777" w:rsidR="00D324AC" w:rsidRDefault="00000000">
      <w:r>
        <w:t>realtor.ca belongs to CREA, its terms prohibit automated collection, it is behind bot protection, and there is no open API. The legitimate route is a CREA data licence (DDF), which is a commercial agreement your brokerage would hold rather than something we can code around. Anything built without it would work until it stopped, without warning.</w:t>
      </w:r>
    </w:p>
    <w:p w14:paraId="73DE337D" w14:textId="77777777" w:rsidR="00D324AC" w:rsidRDefault="00000000">
      <w:r>
        <w:t>So the AI lender notes are quoted using the information the broker already enters, which covers refinances and renewals exactly as you described. If you have or can obtain DDF access, we will scope the purchase-side enrichment on top of it.</w:t>
      </w:r>
    </w:p>
    <w:p w14:paraId="2E6A4A42" w14:textId="77777777" w:rsidR="00D324AC" w:rsidRDefault="00000000">
      <w:pPr>
        <w:spacing w:before="400" w:after="160"/>
      </w:pPr>
      <w:r>
        <w:rPr>
          <w:rFonts w:ascii="Georgia" w:hAnsi="Georgia"/>
          <w:b/>
          <w:color w:val="2E6A4E"/>
          <w:sz w:val="34"/>
        </w:rPr>
        <w:t>4.  Decisions we need from you</w:t>
      </w:r>
    </w:p>
    <w:p w14:paraId="3EAF8597" w14:textId="77777777" w:rsidR="00D324AC" w:rsidRDefault="00000000">
      <w:r>
        <w:t>Each of these changes what gets built rather than how long it takes. Answers before the relevant phase begins keep the schedule intact; an answer that changes a rule’s shape is re-estimated rather than absorbed.</w:t>
      </w:r>
    </w:p>
    <w:p w14:paraId="6EA4D3DC" w14:textId="77777777" w:rsidR="00D324AC" w:rsidRDefault="00000000">
      <w:pPr>
        <w:spacing w:before="160" w:after="20"/>
      </w:pPr>
      <w:r>
        <w:rPr>
          <w:b/>
        </w:rPr>
        <w:t>01.  Property taxes — one choice or two checkboxes?</w:t>
      </w:r>
    </w:p>
    <w:p w14:paraId="44608F3D" w14:textId="77777777" w:rsidR="00D324AC" w:rsidRDefault="00000000">
      <w:pPr>
        <w:spacing w:after="40"/>
        <w:ind w:left="461"/>
      </w:pPr>
      <w:r>
        <w:rPr>
          <w:sz w:val="20"/>
        </w:rPr>
        <w:t>The two options are mutually exclusive in practice. Should they behave as a single either/or choice, or as two checkboxes where leaving both empty means “not specified”?</w:t>
      </w:r>
    </w:p>
    <w:p w14:paraId="4763FBCA" w14:textId="77777777" w:rsidR="00D324AC" w:rsidRDefault="00000000">
      <w:pPr>
        <w:spacing w:before="160" w:after="20"/>
      </w:pPr>
      <w:r>
        <w:rPr>
          <w:b/>
        </w:rPr>
        <w:t>02.  Per-brokerage bps — one rate or three?</w:t>
      </w:r>
    </w:p>
    <w:p w14:paraId="61BF4C0C" w14:textId="77777777" w:rsidR="00D324AC" w:rsidRDefault="00000000">
      <w:pPr>
        <w:spacing w:after="40"/>
        <w:ind w:left="461"/>
      </w:pPr>
      <w:r>
        <w:rPr>
          <w:sz w:val="20"/>
        </w:rPr>
        <w:t>A single override for a brokerage, or a full set of three, four and five by term as today?</w:t>
      </w:r>
    </w:p>
    <w:p w14:paraId="02D55622" w14:textId="77777777" w:rsidR="00D324AC" w:rsidRDefault="00000000">
      <w:pPr>
        <w:spacing w:before="160" w:after="20"/>
      </w:pPr>
      <w:r>
        <w:rPr>
          <w:b/>
        </w:rPr>
        <w:t>03.  Which province governs the sales tax?</w:t>
      </w:r>
    </w:p>
    <w:p w14:paraId="4D560DCC" w14:textId="77777777" w:rsidR="00D324AC" w:rsidRDefault="00000000">
      <w:pPr>
        <w:spacing w:after="40"/>
        <w:ind w:left="461"/>
      </w:pPr>
      <w:r>
        <w:rPr>
          <w:sz w:val="20"/>
        </w:rPr>
        <w:t>The invoice is billed to the lender, and the lender’s province is not necessarily the property’s. We would rather your accountant set the rule than have us pick one. We also need the registration numbers that must appear on the invoice, and which taxes you are registered to charge.</w:t>
      </w:r>
    </w:p>
    <w:p w14:paraId="795C34D5" w14:textId="77777777" w:rsidR="00D324AC" w:rsidRDefault="00000000">
      <w:pPr>
        <w:spacing w:before="160" w:after="20"/>
      </w:pPr>
      <w:r>
        <w:rPr>
          <w:b/>
        </w:rPr>
        <w:t>04.  Invoice template — text or layout?</w:t>
      </w:r>
    </w:p>
    <w:p w14:paraId="6163CB89" w14:textId="77777777" w:rsidR="00D324AC" w:rsidRDefault="00000000">
      <w:pPr>
        <w:spacing w:after="40"/>
        <w:ind w:left="461"/>
      </w:pPr>
      <w:r>
        <w:rPr>
          <w:sz w:val="20"/>
        </w:rPr>
        <w:lastRenderedPageBreak/>
        <w:t>Editing the wording inside the current layout is the five hours quoted. Full control over layout and ordering is a different build, roughly twice that.</w:t>
      </w:r>
    </w:p>
    <w:p w14:paraId="4C841FDC" w14:textId="77777777" w:rsidR="00D324AC" w:rsidRDefault="00000000">
      <w:pPr>
        <w:spacing w:before="160" w:after="20"/>
      </w:pPr>
      <w:r>
        <w:rPr>
          <w:b/>
        </w:rPr>
        <w:t>05.  Rental income — how should a lender’s maximum match?</w:t>
      </w:r>
    </w:p>
    <w:p w14:paraId="03C713A4" w14:textId="77777777" w:rsidR="00D324AC" w:rsidRDefault="00000000">
      <w:pPr>
        <w:spacing w:after="40"/>
        <w:ind w:left="461"/>
      </w:pPr>
      <w:r>
        <w:rPr>
          <w:sz w:val="20"/>
        </w:rPr>
        <w:t>If a broker checks 80% addback and a lender’s maximum is 90%, we read that as a match. If the lender’s maximum is 50% and the broker only checked 80% and above, no match. Please confirm that reading, and what the taxes-and-heat exclusion does to it.</w:t>
      </w:r>
    </w:p>
    <w:p w14:paraId="07493075" w14:textId="77777777" w:rsidR="00D324AC" w:rsidRDefault="00000000">
      <w:pPr>
        <w:spacing w:before="160" w:after="20"/>
      </w:pPr>
      <w:r>
        <w:rPr>
          <w:b/>
        </w:rPr>
        <w:t>06.  Suspensions — how long, and counted how?</w:t>
      </w:r>
    </w:p>
    <w:p w14:paraId="1DD49C9F" w14:textId="77777777" w:rsidR="00D324AC" w:rsidRDefault="00000000">
      <w:pPr>
        <w:spacing w:after="40"/>
        <w:ind w:left="461"/>
      </w:pPr>
      <w:r>
        <w:rPr>
          <w:sz w:val="20"/>
        </w:rPr>
        <w:t>How long does an automatic suspension last, and over what period are the attempts counted — per deal, per lender, or ever? The 4 August note says more than two attempts and the 17 August email says three separate messages; worth settling in one sentence.</w:t>
      </w:r>
    </w:p>
    <w:p w14:paraId="0089485F" w14:textId="77777777" w:rsidR="00D324AC" w:rsidRDefault="00000000">
      <w:pPr>
        <w:spacing w:before="160" w:after="20"/>
      </w:pPr>
      <w:r>
        <w:rPr>
          <w:b/>
        </w:rPr>
        <w:t>07.  Suspensions — what about deals already accepted?</w:t>
      </w:r>
    </w:p>
    <w:p w14:paraId="2DAA185D" w14:textId="77777777" w:rsidR="00D324AC" w:rsidRDefault="00000000">
      <w:pPr>
        <w:spacing w:after="40"/>
        <w:ind w:left="461"/>
      </w:pPr>
      <w:r>
        <w:rPr>
          <w:sz w:val="20"/>
        </w:rPr>
        <w:t>If a broker is suspended while a deal has an accepted offer and a live invoice, there is a lender on the other side counting on it. Does that deal continue?</w:t>
      </w:r>
    </w:p>
    <w:p w14:paraId="717575EF" w14:textId="77777777" w:rsidR="00D324AC" w:rsidRDefault="00000000">
      <w:pPr>
        <w:spacing w:before="160" w:after="20"/>
      </w:pPr>
      <w:r>
        <w:rPr>
          <w:b/>
        </w:rPr>
        <w:t>08.  Declines — do they apply to a whole lender?</w:t>
      </w:r>
    </w:p>
    <w:p w14:paraId="423A4879" w14:textId="77777777" w:rsidR="00D324AC" w:rsidRDefault="00000000">
      <w:pPr>
        <w:spacing w:after="40"/>
        <w:ind w:left="461"/>
      </w:pPr>
      <w:r>
        <w:rPr>
          <w:sz w:val="20"/>
        </w:rPr>
        <w:t>If one person at a lender declines a deal, does it disappear for their colleagues too, or only for them?</w:t>
      </w:r>
    </w:p>
    <w:p w14:paraId="50FB28BE" w14:textId="77777777" w:rsidR="00D324AC" w:rsidRDefault="00000000">
      <w:pPr>
        <w:spacing w:before="160" w:after="20"/>
      </w:pPr>
      <w:r>
        <w:rPr>
          <w:b/>
        </w:rPr>
        <w:t>09.  The document list in French</w:t>
      </w:r>
    </w:p>
    <w:p w14:paraId="4E56D23F" w14:textId="77777777" w:rsidR="00D324AC" w:rsidRDefault="00000000">
      <w:pPr>
        <w:spacing w:after="40"/>
        <w:ind w:left="461"/>
      </w:pPr>
      <w:r>
        <w:rPr>
          <w:sz w:val="20"/>
        </w:rPr>
        <w:t>Everything user-facing on the platform is bilingual. The list is about 1,300 words of underwriting vocabulary. We can translate it (included above), you can supply the French, or this one screen can ship in English as a documented exception.</w:t>
      </w:r>
    </w:p>
    <w:p w14:paraId="73CC90D4" w14:textId="77777777" w:rsidR="00D324AC" w:rsidRDefault="00000000">
      <w:pPr>
        <w:spacing w:before="160" w:after="20"/>
      </w:pPr>
      <w:r>
        <w:rPr>
          <w:b/>
        </w:rPr>
        <w:t>10.  Resources — one feed or two?</w:t>
      </w:r>
    </w:p>
    <w:p w14:paraId="09DCFBF9" w14:textId="77777777" w:rsidR="00D324AC" w:rsidRDefault="00000000">
      <w:pPr>
        <w:spacing w:after="40"/>
        <w:ind w:left="461"/>
      </w:pPr>
      <w:r>
        <w:rPr>
          <w:sz w:val="20"/>
        </w:rPr>
        <w:t>Shared content for brokers and lenders, or separate sections? And do posts need images or attachments?</w:t>
      </w:r>
    </w:p>
    <w:p w14:paraId="7DBB22BF" w14:textId="77777777" w:rsidR="00D324AC" w:rsidRDefault="00000000">
      <w:pPr>
        <w:spacing w:before="160" w:after="20"/>
      </w:pPr>
      <w:r>
        <w:rPr>
          <w:b/>
        </w:rPr>
        <w:t>11.  SendGrid — the key needs moving</w:t>
      </w:r>
    </w:p>
    <w:p w14:paraId="0F30E86F" w14:textId="77777777" w:rsidR="00D324AC" w:rsidRDefault="00000000">
      <w:pPr>
        <w:spacing w:after="40"/>
        <w:ind w:left="461"/>
      </w:pPr>
      <w:r>
        <w:rPr>
          <w:sz w:val="20"/>
        </w:rPr>
        <w:t>The API key was added to Vercel, but the emails are sent by the Supabase side of the platform, which never sees Vercel’s settings. It needs to be added there instead; we will handle it, but the Vercel copy is doing nothing today. One limitation to know: your notification emails can use SendGrid templates, but the account emails — sign-up confirmation, password reset — are generated by the login system and will keep using its own templates, which stay editable where they are now.</w:t>
      </w:r>
    </w:p>
    <w:p w14:paraId="6251A54B" w14:textId="77777777" w:rsidR="00D324AC" w:rsidRDefault="00000000">
      <w:pPr>
        <w:spacing w:before="400" w:after="160"/>
      </w:pPr>
      <w:r>
        <w:rPr>
          <w:rFonts w:ascii="Georgia" w:hAnsi="Georgia"/>
          <w:b/>
          <w:color w:val="2E6A4E"/>
          <w:sz w:val="34"/>
        </w:rPr>
        <w:t>5.  Schedule</w:t>
      </w:r>
    </w:p>
    <w:tbl>
      <w:tblPr>
        <w:tblStyle w:val="Tablaconcuadrcula"/>
        <w:tblW w:w="0" w:type="auto"/>
        <w:tblLayout w:type="fixed"/>
        <w:tblLook w:val="04A0" w:firstRow="1" w:lastRow="0" w:firstColumn="1" w:lastColumn="0" w:noHBand="0" w:noVBand="1"/>
      </w:tblPr>
      <w:tblGrid>
        <w:gridCol w:w="1440"/>
        <w:gridCol w:w="7776"/>
      </w:tblGrid>
      <w:tr w:rsidR="00D324AC" w14:paraId="7AD3CCF4" w14:textId="77777777">
        <w:tc>
          <w:tcPr>
            <w:tcW w:w="1440" w:type="dxa"/>
            <w:shd w:val="clear" w:color="auto" w:fill="ECEEE8"/>
          </w:tcPr>
          <w:p w14:paraId="713F0636" w14:textId="77777777" w:rsidR="00D324AC" w:rsidRDefault="00000000">
            <w:pPr>
              <w:spacing w:after="40"/>
            </w:pPr>
            <w:r>
              <w:rPr>
                <w:b/>
                <w:color w:val="6B7A72"/>
                <w:sz w:val="17"/>
              </w:rPr>
              <w:t>Week</w:t>
            </w:r>
          </w:p>
        </w:tc>
        <w:tc>
          <w:tcPr>
            <w:tcW w:w="7776" w:type="dxa"/>
            <w:shd w:val="clear" w:color="auto" w:fill="ECEEE8"/>
          </w:tcPr>
          <w:p w14:paraId="19DE28E6" w14:textId="77777777" w:rsidR="00D324AC" w:rsidRDefault="00000000">
            <w:pPr>
              <w:spacing w:after="40"/>
            </w:pPr>
            <w:r>
              <w:rPr>
                <w:b/>
                <w:color w:val="6B7A72"/>
                <w:sz w:val="17"/>
              </w:rPr>
              <w:t>Delivered</w:t>
            </w:r>
          </w:p>
        </w:tc>
      </w:tr>
      <w:tr w:rsidR="00D324AC" w14:paraId="04EA60EB" w14:textId="77777777">
        <w:tc>
          <w:tcPr>
            <w:tcW w:w="1440" w:type="dxa"/>
          </w:tcPr>
          <w:p w14:paraId="2A6A9ED5" w14:textId="77777777" w:rsidR="00D324AC" w:rsidRDefault="00000000">
            <w:pPr>
              <w:spacing w:after="0"/>
            </w:pPr>
            <w:r>
              <w:rPr>
                <w:sz w:val="20"/>
              </w:rPr>
              <w:t>Week 1</w:t>
            </w:r>
          </w:p>
        </w:tc>
        <w:tc>
          <w:tcPr>
            <w:tcW w:w="7776" w:type="dxa"/>
          </w:tcPr>
          <w:p w14:paraId="575C2453" w14:textId="77777777" w:rsidR="00D324AC" w:rsidRDefault="00000000">
            <w:pPr>
              <w:spacing w:after="0"/>
            </w:pPr>
            <w:r>
              <w:rPr>
                <w:sz w:val="20"/>
              </w:rPr>
              <w:t>Phases 1 and 2 to staging for your review, then to production; Phase 3 under way</w:t>
            </w:r>
          </w:p>
        </w:tc>
      </w:tr>
      <w:tr w:rsidR="00D324AC" w14:paraId="6929B977" w14:textId="77777777">
        <w:tc>
          <w:tcPr>
            <w:tcW w:w="1440" w:type="dxa"/>
          </w:tcPr>
          <w:p w14:paraId="2E94C5E7" w14:textId="77777777" w:rsidR="00D324AC" w:rsidRDefault="00000000">
            <w:pPr>
              <w:spacing w:after="0"/>
            </w:pPr>
            <w:r>
              <w:rPr>
                <w:sz w:val="20"/>
              </w:rPr>
              <w:t>Week 2</w:t>
            </w:r>
          </w:p>
        </w:tc>
        <w:tc>
          <w:tcPr>
            <w:tcW w:w="7776" w:type="dxa"/>
          </w:tcPr>
          <w:p w14:paraId="1C79010B" w14:textId="77777777" w:rsidR="00D324AC" w:rsidRDefault="00000000">
            <w:pPr>
              <w:spacing w:after="0"/>
            </w:pPr>
            <w:r>
              <w:rPr>
                <w:sz w:val="20"/>
              </w:rPr>
              <w:t>Phase 3 completed, Phases 4 and 5 built; full regression pass and production deploy</w:t>
            </w:r>
          </w:p>
        </w:tc>
      </w:tr>
    </w:tbl>
    <w:p w14:paraId="00BD0C76" w14:textId="77777777" w:rsidR="00D324AC" w:rsidRDefault="00D324AC">
      <w:pPr>
        <w:spacing w:after="40"/>
      </w:pPr>
    </w:p>
    <w:tbl>
      <w:tblPr>
        <w:tblStyle w:val="Tablaconcuadrcula"/>
        <w:tblW w:w="0" w:type="auto"/>
        <w:tblLook w:val="04A0" w:firstRow="1" w:lastRow="0" w:firstColumn="1" w:lastColumn="0" w:noHBand="0" w:noVBand="1"/>
      </w:tblPr>
      <w:tblGrid>
        <w:gridCol w:w="9216"/>
      </w:tblGrid>
      <w:tr w:rsidR="00D324AC" w14:paraId="308EA8C8" w14:textId="77777777">
        <w:tc>
          <w:tcPr>
            <w:tcW w:w="9216" w:type="dxa"/>
            <w:shd w:val="clear" w:color="auto" w:fill="F6E9DE"/>
          </w:tcPr>
          <w:p w14:paraId="6F93B280" w14:textId="77777777" w:rsidR="00D324AC" w:rsidRDefault="00000000">
            <w:pPr>
              <w:spacing w:after="40"/>
            </w:pPr>
            <w:r>
              <w:rPr>
                <w:b/>
                <w:color w:val="A9541C"/>
                <w:sz w:val="20"/>
              </w:rPr>
              <w:t>Two weeks is achievable, with one condition</w:t>
            </w:r>
          </w:p>
          <w:p w14:paraId="1033DC14" w14:textId="77777777" w:rsidR="00D324AC" w:rsidRDefault="00000000">
            <w:pPr>
              <w:spacing w:after="0"/>
            </w:pPr>
            <w:r>
              <w:rPr>
                <w:sz w:val="19"/>
              </w:rPr>
              <w:t>The schedule has no slack for waiting on answers, and two of them sit on your side rather than ours: Phase 5 cannot start without the tax rule and your registration numbers, and Phase 4’s document list needs the French decision. If those arrive at approval, two weeks holds. If they arrive in week two, the date moves — which we would rather say now than then.</w:t>
            </w:r>
          </w:p>
        </w:tc>
      </w:tr>
    </w:tbl>
    <w:p w14:paraId="6BEDDF5D" w14:textId="77777777" w:rsidR="00D324AC" w:rsidRDefault="00D324AC">
      <w:pPr>
        <w:spacing w:after="40"/>
      </w:pPr>
    </w:p>
    <w:p w14:paraId="1F9EE368" w14:textId="77777777" w:rsidR="00D324AC" w:rsidRDefault="00000000">
      <w:pPr>
        <w:spacing w:before="400" w:after="160"/>
      </w:pPr>
      <w:r>
        <w:rPr>
          <w:rFonts w:ascii="Georgia" w:hAnsi="Georgia"/>
          <w:b/>
          <w:color w:val="2E6A4E"/>
          <w:sz w:val="34"/>
        </w:rPr>
        <w:lastRenderedPageBreak/>
        <w:t>6.  Assumptions</w:t>
      </w:r>
    </w:p>
    <w:p w14:paraId="2D86C08F" w14:textId="77777777" w:rsidR="00D324AC" w:rsidRDefault="00000000">
      <w:pPr>
        <w:pStyle w:val="Listaconvietas"/>
        <w:spacing w:after="60"/>
      </w:pPr>
      <w:r>
        <w:t>Built on the platform as delivered — accounts, permissions, the matching engine, notifications and email, scheduled jobs, file storage, invoice generation and the contact-information screening are all in place and are not re-charged here.</w:t>
      </w:r>
    </w:p>
    <w:p w14:paraId="2595F522" w14:textId="77777777" w:rsidR="00D324AC" w:rsidRDefault="00000000">
      <w:pPr>
        <w:pStyle w:val="Listaconvietas"/>
        <w:spacing w:after="60"/>
      </w:pPr>
      <w:r>
        <w:t>Hours include development and testing. Every phase is verified on staging before it reaches production.</w:t>
      </w:r>
    </w:p>
    <w:p w14:paraId="04E9E243" w14:textId="77777777" w:rsidR="00D324AC" w:rsidRDefault="00000000">
      <w:pPr>
        <w:pStyle w:val="Listaconvietas"/>
        <w:spacing w:after="60"/>
      </w:pPr>
      <w:r>
        <w:t>New wording ships in English and French, except where decision 09 says otherwise.</w:t>
      </w:r>
    </w:p>
    <w:p w14:paraId="1B99CDB4" w14:textId="77777777" w:rsidR="00D324AC" w:rsidRDefault="00000000">
      <w:pPr>
        <w:pStyle w:val="Listaconvietas"/>
        <w:spacing w:after="60"/>
      </w:pPr>
      <w:r>
        <w:t>SendGrid domain verification and DNS are completed on your side; we use the verified sender.</w:t>
      </w:r>
    </w:p>
    <w:p w14:paraId="7675300E" w14:textId="77777777" w:rsidR="00D324AC" w:rsidRDefault="00000000">
      <w:pPr>
        <w:pStyle w:val="Listaconvietas"/>
        <w:spacing w:after="60"/>
      </w:pPr>
      <w:r>
        <w:t>The AI lender notes are a draft for the broker to review before sending — as your own disclaimer says — not a verified submission package.</w:t>
      </w:r>
    </w:p>
    <w:p w14:paraId="08C175BC" w14:textId="77777777" w:rsidR="00D324AC" w:rsidRDefault="00000000">
      <w:pPr>
        <w:pStyle w:val="Listaconvietas"/>
        <w:spacing w:after="60"/>
      </w:pPr>
      <w:r>
        <w:t>Sales tax is applied from an agreed date forward. Invoices already issued are left exactly as they are.</w:t>
      </w:r>
    </w:p>
    <w:p w14:paraId="00CE6F76" w14:textId="77777777" w:rsidR="00D324AC" w:rsidRDefault="00D324AC"/>
    <w:p w14:paraId="0A96C442" w14:textId="77777777" w:rsidR="00D324AC" w:rsidRDefault="00000000">
      <w:r>
        <w:rPr>
          <w:b/>
        </w:rPr>
        <w:t>Next step.  On written approval of this proposal, and with the decisions in section 4 answered, Phase 1 begins immediately and each phase is invoiced as delivered.</w:t>
      </w:r>
    </w:p>
    <w:sectPr w:rsidR="00D324A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2303699">
    <w:abstractNumId w:val="8"/>
  </w:num>
  <w:num w:numId="2" w16cid:durableId="268511604">
    <w:abstractNumId w:val="6"/>
  </w:num>
  <w:num w:numId="3" w16cid:durableId="126554590">
    <w:abstractNumId w:val="5"/>
  </w:num>
  <w:num w:numId="4" w16cid:durableId="1212577520">
    <w:abstractNumId w:val="4"/>
  </w:num>
  <w:num w:numId="5" w16cid:durableId="542596785">
    <w:abstractNumId w:val="7"/>
  </w:num>
  <w:num w:numId="6" w16cid:durableId="1897276232">
    <w:abstractNumId w:val="3"/>
  </w:num>
  <w:num w:numId="7" w16cid:durableId="2028363935">
    <w:abstractNumId w:val="2"/>
  </w:num>
  <w:num w:numId="8" w16cid:durableId="780686575">
    <w:abstractNumId w:val="1"/>
  </w:num>
  <w:num w:numId="9" w16cid:durableId="1083599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BE6"/>
    <w:rsid w:val="00AA1D8D"/>
    <w:rsid w:val="00B47730"/>
    <w:rsid w:val="00CB0664"/>
    <w:rsid w:val="00D324AC"/>
    <w:rsid w:val="00E04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33C41"/>
  <w14:defaultImageDpi w14:val="300"/>
  <w15:docId w15:val="{04772DAF-DD56-400A-AAE8-5F252873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01E18"/>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2048</Words>
  <Characters>11265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Dilan Useche</cp:lastModifiedBy>
  <cp:revision>2</cp:revision>
  <dcterms:created xsi:type="dcterms:W3CDTF">2013-12-23T23:15:00Z</dcterms:created>
  <dcterms:modified xsi:type="dcterms:W3CDTF">2026-08-18T18:51:00Z</dcterms:modified>
  <cp:category/>
</cp:coreProperties>
</file>