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34CB6" w:val="clear"/>
            <w:tcMar>
              <w:top w:type="dxa" w:w="260"/>
              <w:left w:type="dxa" w:w="240"/>
              <w:bottom w:type="dxa" w:w="260"/>
              <w:right w:type="dxa" w:w="240"/>
            </w:tcMar>
          </w:tcPr>
          <w:p>
            <w:pPr>
              <w:spacing w:after="60"/>
            </w:pPr>
            <w:r>
              <w:rPr>
                <w:rFonts w:ascii="Arial" w:cs="Arial" w:eastAsia="Arial" w:hAnsi="Arial"/>
                <w:b/>
                <w:bCs/>
                <w:color w:val="FFFFFF"/>
                <w:sz w:val="24"/>
                <w:szCs w:val="24"/>
              </w:rPr>
              <w:t xml:space="preserve">LENDERMATCH™  (formerly Loan Link)</w:t>
            </w:r>
          </w:p>
          <w:p>
            <w:pPr>
              <w:spacing w:after="40"/>
            </w:pPr>
            <w:r>
              <w:rPr>
                <w:rFonts w:ascii="Arial" w:cs="Arial" w:eastAsia="Arial" w:hAnsi="Arial"/>
                <w:b/>
                <w:bCs/>
                <w:color w:val="FFFFFF"/>
                <w:sz w:val="34"/>
                <w:szCs w:val="34"/>
              </w:rPr>
              <w:t xml:space="preserve">Change Request — Round 3  ·  Final Proposal</w:t>
            </w:r>
          </w:p>
          <w:p>
            <w:r>
              <w:rPr>
                <w:rFonts w:ascii="Arial" w:cs="Arial" w:eastAsia="Arial" w:hAnsi="Arial"/>
                <w:color w:val="DCE6F5"/>
                <w:sz w:val="20"/>
                <w:szCs w:val="20"/>
              </w:rPr>
              <w:t>New platform additions  ·  React + Supabase implementation  ·  Rev. 3 — retargeted from Bubble  ·  July 2026  ·  Confidential</w:t>
            </w:r>
          </w:p>
        </w:tc>
      </w:tr>
    </w:tbl>
    <w:p>
      <w:pPr>
        <w:spacing w:after="15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1F7A3D" w:sz="18"/>
              <w:bottom w:val="single" w:color="D9DFE5" w:sz="2"/>
              <w:right w:val="single" w:color="D9DFE5" w:sz="2"/>
            </w:tcBorders>
            <w:shd w:fill="EAF3EA" w:val="clear"/>
            <w:tcMar>
              <w:top w:type="dxa" w:w="130"/>
              <w:left w:type="dxa" w:w="170"/>
              <w:bottom w:type="dxa" w:w="130"/>
              <w:right w:type="dxa" w:w="170"/>
            </w:tcMar>
          </w:tcPr>
          <w:p>
            <w:pPr>
              <w:spacing w:after="70"/>
            </w:pPr>
            <w:r>
              <w:rPr>
                <w:rFonts w:ascii="Arial" w:cs="Arial" w:eastAsia="Arial" w:hAnsi="Arial"/>
                <w:b/>
                <w:bCs/>
                <w:sz w:val="20"/>
                <w:szCs w:val="20"/>
              </w:rPr>
              <w:t xml:space="preserve">Status.  </w:t>
            </w:r>
            <w:r>
              <w:rPr>
                <w:rFonts w:ascii="Arial" w:cs="Arial" w:eastAsia="Arial" w:hAnsi="Arial"/>
                <w:sz w:val="20"/>
                <w:szCs w:val="20"/>
              </w:rPr>
              <w:t>This revision retargets the confirmed Round 3 scope onto the delivered React + Supabase platform (the Loan Link rebuild) instead of Bubble. The feature scope and all client-confirmed decisions are unchanged; only the implementation target and the firm hours are updated. Estimates are firm at 64 hours total, organized by execution phase.</w:t>
            </w:r>
          </w:p>
          <w:p>
            <w:pPr>
              <w:spacing w:after="0"/>
            </w:pPr>
            <w:r>
              <w:rPr>
                <w:rFonts w:ascii="Arial" w:cs="Arial" w:eastAsia="Arial" w:hAnsi="Arial"/>
                <w:b/>
                <w:bCs/>
                <w:sz w:val="20"/>
                <w:szCs w:val="20"/>
              </w:rPr>
              <w:t xml:space="preserve">Scope note.  </w:t>
            </w:r>
            <w:r>
              <w:rPr>
                <w:rFonts w:ascii="Arial" w:cs="Arial" w:eastAsia="Arial" w:hAnsi="Arial"/>
                <w:sz w:val="20"/>
                <w:szCs w:val="20"/>
              </w:rPr>
              <w:t>These items are new scope beyond the original specification, quoted as a separate Round 3 engagement. Two items were removed from scope per the client (see Section 1.2).</w:t>
            </w:r>
          </w:p>
        </w:tc>
      </w:tr>
    </w:tbl>
    <w:p>
      <w:pPr>
        <w:pStyle w:val="Heading1"/>
        <w:spacing w:after="150" w:before="340"/>
      </w:pPr>
      <w:r>
        <w:rPr>
          <w:rFonts w:ascii="Arial" w:cs="Arial" w:eastAsia="Arial" w:hAnsi="Arial"/>
          <w:b/>
          <w:bCs/>
          <w:color w:val="034CB6"/>
          <w:sz w:val="28"/>
          <w:szCs w:val="28"/>
        </w:rPr>
        <w:t xml:space="preserve">1.  Executive summary</w:t>
      </w:r>
    </w:p>
    <w:p>
      <w:pPr>
        <w:pStyle w:val="Heading2"/>
        <w:spacing w:after="100" w:before="230"/>
      </w:pPr>
      <w:r>
        <w:rPr>
          <w:rFonts w:ascii="Arial" w:cs="Arial" w:eastAsia="Arial" w:hAnsi="Arial"/>
          <w:b/>
          <w:bCs/>
          <w:color w:val="070B14"/>
          <w:sz w:val="23"/>
          <w:szCs w:val="23"/>
        </w:rPr>
        <w:t xml:space="preserve">1.1  Firm estimate</w:t>
      </w:r>
    </w:p>
    <w:p>
      <w:pPr>
        <w:spacing w:after="120" w:before="0"/>
      </w:pPr>
      <w:r>
        <w:rPr>
          <w:rFonts w:ascii="Arial" w:cs="Arial" w:eastAsia="Arial" w:hAnsi="Arial"/>
          <w:sz w:val="21"/>
          <w:szCs w:val="21"/>
        </w:rPr>
        <w:t>With all requirements confirmed, the ranges from the previous draft are now firm figures. This revision retargets the same confirmed scope onto the delivered React + Supabase platform (the Loan Link rebuild) rather than Bubble; the features and the client-confirmed decisions are unchanged. Work is organized into three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63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Focus</w:t>
            </w:r>
          </w:p>
        </w:tc>
        <w:tc>
          <w:tcPr>
            <w:tcW w:type="dxa" w:w="18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Hours</w:t>
            </w:r>
          </w:p>
        </w:tc>
      </w:tr>
      <w:tr>
        <w:tc>
          <w:tcPr>
            <w:tcW w:type="dxa" w:w="12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Phase 1</w:t>
            </w:r>
          </w:p>
        </w:tc>
        <w:tc>
          <w:tcPr>
            <w:tcW w:type="dxa" w:w="63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Quick wins, field changes &amp; alignment</w:t>
            </w:r>
          </w:p>
        </w:tc>
        <w:tc>
          <w:tcPr>
            <w:tcW w:type="dxa" w:w="18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21</w:t>
            </w:r>
          </w:p>
        </w:tc>
      </w:tr>
      <w:tr>
        <w:tc>
          <w:tcPr>
            <w:tcW w:type="dxa" w:w="12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Phase 2</w:t>
            </w:r>
          </w:p>
        </w:tc>
        <w:tc>
          <w:tcPr>
            <w:tcW w:type="dxa" w:w="63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Standard features, acceptance rework &amp; rebrand</w:t>
            </w:r>
          </w:p>
        </w:tc>
        <w:tc>
          <w:tcPr>
            <w:tcW w:type="dxa" w:w="18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19</w:t>
            </w:r>
          </w:p>
        </w:tc>
      </w:tr>
      <w:tr>
        <w:tc>
          <w:tcPr>
            <w:tcW w:type="dxa" w:w="12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Phase 3</w:t>
            </w:r>
          </w:p>
        </w:tc>
        <w:tc>
          <w:tcPr>
            <w:tcW w:type="dxa" w:w="63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Heavy features (documents, auto-offer, prequal)</w:t>
            </w:r>
          </w:p>
        </w:tc>
        <w:tc>
          <w:tcPr>
            <w:tcW w:type="dxa" w:w="18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24</w:t>
            </w:r>
          </w:p>
        </w:tc>
      </w:tr>
      <w:tr>
        <w:tc>
          <w:tcPr>
            <w:tcW w:type="dxa" w:w="12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b/>
                <w:bCs/>
                <w:color w:val="034CB6"/>
                <w:sz w:val="19"/>
                <w:szCs w:val="19"/>
              </w:rPr>
              <w:t xml:space="preserve">TOTAL</w:t>
            </w:r>
          </w:p>
        </w:tc>
        <w:tc>
          <w:tcPr>
            <w:tcW w:type="dxa" w:w="63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b/>
                <w:bCs/>
                <w:color w:val="034CB6"/>
                <w:sz w:val="19"/>
                <w:szCs w:val="19"/>
              </w:rPr>
              <w:t xml:space="preserve">Full Round 3 engagement</w:t>
            </w:r>
          </w:p>
        </w:tc>
        <w:tc>
          <w:tcPr>
            <w:tcW w:type="dxa" w:w="18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b/>
                <w:bCs/>
                <w:color w:val="034CB6"/>
                <w:sz w:val="19"/>
                <w:szCs w:val="19"/>
              </w:rPr>
              <w:t>64 h</w:t>
            </w:r>
          </w:p>
        </w:tc>
      </w:tr>
    </w:tbl>
    <w:p>
      <w:pPr>
        <w:spacing w:after="60"/>
      </w:pPr>
      <w:r>
        <w:rPr>
          <w:rFonts w:ascii="Arial" w:cs="Arial" w:eastAsia="Arial" w:hAnsi="Arial"/>
        </w:rPr>
        <w:t xml:space="preserve"/>
      </w:r>
    </w:p>
    <w:p>
      <w:pPr>
        <w:spacing w:after="120" w:before="0"/>
      </w:pPr>
      <w:r>
        <w:rPr>
          <w:rFonts w:ascii="Arial" w:cs="Arial" w:eastAsia="Arial" w:hAnsi="Arial"/>
          <w:b/>
          <w:bCs/>
          <w:sz w:val="20"/>
          <w:szCs w:val="20"/>
        </w:rPr>
        <w:t xml:space="preserve">Firm total: </w:t>
      </w:r>
      <w:r>
        <w:rPr>
          <w:rFonts w:ascii="Arial" w:cs="Arial" w:eastAsia="Arial" w:hAnsi="Arial"/>
          <w:sz w:val="20"/>
          <w:szCs w:val="20"/>
        </w:rPr>
        <w:t xml:space="preserve">64 hours (development and QA/testing included) — roughly </w:t>
      </w:r>
      <w:r>
        <w:rPr>
          <w:rFonts w:ascii="Arial" w:cs="Arial" w:eastAsia="Arial" w:hAnsi="Arial"/>
          <w:b/>
          <w:bCs/>
          <w:sz w:val="20"/>
          <w:szCs w:val="20"/>
        </w:rPr>
        <w:t>1.5–2 additional weeks</w:t>
      </w:r>
      <w:r>
        <w:rPr>
          <w:rFonts w:ascii="Arial" w:cs="Arial" w:eastAsia="Arial" w:hAnsi="Arial"/>
          <w:sz w:val="20"/>
          <w:szCs w:val="20"/>
        </w:rPr>
        <w:t xml:space="preserve"> at 40 h/week. Phases can be invoiced and delivered sequentially.</w:t>
      </w:r>
    </w:p>
    <w:p>
      <w:pPr>
        <w:pStyle w:val="Heading2"/>
        <w:spacing w:after="100" w:before="230"/>
      </w:pPr>
      <w:r>
        <w:rPr>
          <w:rFonts w:ascii="Arial" w:cs="Arial" w:eastAsia="Arial" w:hAnsi="Arial"/>
          <w:b/>
          <w:bCs/>
          <w:color w:val="070B14"/>
          <w:sz w:val="23"/>
          <w:szCs w:val="23"/>
        </w:rPr>
        <w:t xml:space="preserve">1.2  Removed from scope (per client)</w:t>
      </w:r>
    </w:p>
    <w:p>
      <w:pPr>
        <w:spacing w:after="120" w:before="0"/>
      </w:pPr>
      <w:r>
        <w:rPr>
          <w:rFonts w:ascii="Arial" w:cs="Arial" w:eastAsia="Arial" w:hAnsi="Arial"/>
          <w:sz w:val="21"/>
          <w:szCs w:val="21"/>
        </w:rPr>
        <w:t xml:space="preserve">Two items from the original request were withdrawn or deferred by the client and are not included in this quote:</w:t>
      </w:r>
    </w:p>
    <w:p>
      <w:pPr>
        <w:pStyle w:val="ListParagraph"/>
        <w:numPr>
          <w:ilvl w:val="0"/>
          <w:numId w:val="2"/>
        </w:numPr>
        <w:spacing w:after="50"/>
      </w:pPr>
      <w:r>
        <w:rPr>
          <w:rFonts w:ascii="Arial" w:cs="Arial" w:eastAsia="Arial" w:hAnsi="Arial"/>
          <w:b/>
          <w:bCs/>
          <w:sz w:val="21"/>
          <w:szCs w:val="21"/>
        </w:rPr>
        <w:t xml:space="preserve">Auto-block group (Merix / RMG / MCAP). </w:t>
      </w:r>
      <w:r>
        <w:rPr>
          <w:rFonts w:ascii="Arial" w:cs="Arial" w:eastAsia="Arial" w:hAnsi="Arial"/>
          <w:sz w:val="21"/>
          <w:szCs w:val="21"/>
        </w:rPr>
        <w:t xml:space="preserve">Deferred to a future platform update. The “declined before” items in Create Deal stay exactly as they are now for this quote — no lender dropdown, no auto-block.</w:t>
      </w:r>
    </w:p>
    <w:p>
      <w:pPr>
        <w:pStyle w:val="ListParagraph"/>
        <w:numPr>
          <w:ilvl w:val="0"/>
          <w:numId w:val="2"/>
        </w:numPr>
        <w:spacing w:after="50"/>
      </w:pPr>
      <w:r>
        <w:rPr>
          <w:rFonts w:ascii="Arial" w:cs="Arial" w:eastAsia="Arial" w:hAnsi="Arial"/>
          <w:b/>
          <w:bCs/>
          <w:sz w:val="21"/>
          <w:szCs w:val="21"/>
        </w:rPr>
        <w:t xml:space="preserve">Lender-institution dropdown on “declined before”. </w:t>
      </w:r>
      <w:r>
        <w:rPr>
          <w:rFonts w:ascii="Arial" w:cs="Arial" w:eastAsia="Arial" w:hAnsi="Arial"/>
          <w:sz w:val="21"/>
          <w:szCs w:val="21"/>
        </w:rPr>
        <w:t xml:space="preserve">Cancelled together with the auto-block item above.</w:t>
      </w:r>
    </w:p>
    <w:p>
      <w:pPr>
        <w:pStyle w:val="Heading2"/>
        <w:spacing w:after="100" w:before="230"/>
      </w:pPr>
      <w:r>
        <w:rPr>
          <w:rFonts w:ascii="Arial" w:cs="Arial" w:eastAsia="Arial" w:hAnsi="Arial"/>
          <w:b/>
          <w:bCs/>
          <w:color w:val="070B14"/>
          <w:sz w:val="23"/>
          <w:szCs w:val="23"/>
        </w:rPr>
        <w:t xml:space="preserve">1.3  Platform prerequisites —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C8851A" w:sz="18"/>
              <w:bottom w:val="single" w:color="D9DFE5" w:sz="2"/>
              <w:right w:val="single" w:color="D9DFE5" w:sz="2"/>
            </w:tcBorders>
            <w:shd w:fill="FBEFD6" w:val="clear"/>
            <w:tcMar>
              <w:top w:type="dxa" w:w="130"/>
              <w:left w:type="dxa" w:w="170"/>
              <w:bottom w:type="dxa" w:w="130"/>
              <w:right w:type="dxa" w:w="170"/>
            </w:tcMar>
          </w:tcPr>
          <w:p>
            <w:pPr>
              <w:spacing w:after="70"/>
            </w:pPr>
            <w:r>
              <w:rPr>
                <w:rFonts w:ascii="Arial" w:cs="Arial" w:eastAsia="Arial" w:hAnsi="Arial"/>
                <w:b/>
                <w:bCs/>
                <w:sz w:val="19"/>
                <w:szCs w:val="19"/>
              </w:rPr>
              <w:t xml:space="preserve">No new infrastructure required.  </w:t>
            </w:r>
            <w:r>
              <w:rPr>
                <w:rFonts w:ascii="Arial" w:cs="Arial" w:eastAsia="Arial" w:hAnsi="Arial"/>
                <w:sz w:val="19"/>
                <w:szCs w:val="19"/>
              </w:rPr>
              <w:t>Round 3 builds on the delivered React + Supabase platform, which is already live. Scheduled jobs (pg_cron) cover the auto-offer daily emails, the 120-day document deletion and the monthly resets; file uploads use Supabase Storage; transactional email is already wired (Resend); and lendermatch.ca connects through the hosting providers (Vercel + Supabase). No Bubble plan or Workload-Unit budget applies.</w:t>
            </w:r>
          </w:p>
          <w:p>
            <w:pPr>
              <w:spacing w:after="0"/>
            </w:pPr>
            <w:r>
              <w:rPr>
                <w:rFonts w:ascii="Arial" w:cs="Arial" w:eastAsia="Arial" w:hAnsi="Arial"/>
                <w:b/>
                <w:bCs/>
                <w:sz w:val="19"/>
                <w:szCs w:val="19"/>
              </w:rPr>
              <w:t xml:space="preserve">One thing to monitor:  </w:t>
            </w:r>
            <w:r>
              <w:rPr>
                <w:rFonts w:ascii="Arial" w:cs="Arial" w:eastAsia="Arial" w:hAnsi="Arial"/>
                <w:sz w:val="19"/>
                <w:szCs w:val="19"/>
              </w:rPr>
              <w:t>usage on the hosting free/low tiers (database, storage, edge-function invocations and email volume). The auto-offer job and document retention are built efficiently and usage is watched; a low-cost paid tier is available if volumes grow. This is a monitoring note, not a blocker.</w:t>
            </w:r>
          </w:p>
        </w:tc>
      </w:tr>
    </w:tbl>
    <w:p>
      <w:pPr>
        <w:pageBreakBefore/>
        <w:spacing w:after="0"/>
      </w:pPr>
      <w:r>
        <w:rPr>
          <w:rFonts w:ascii="Arial" w:cs="Arial" w:eastAsia="Arial" w:hAnsi="Arial"/>
        </w:rPr>
        <w:t xml:space="preserve"/>
      </w:r>
    </w:p>
    <w:p>
      <w:pPr>
        <w:pStyle w:val="Heading1"/>
        <w:spacing w:after="150" w:before="340"/>
      </w:pPr>
      <w:r>
        <w:rPr>
          <w:rFonts w:ascii="Arial" w:cs="Arial" w:eastAsia="Arial" w:hAnsi="Arial"/>
          <w:b/>
          <w:bCs/>
          <w:color w:val="034CB6"/>
          <w:sz w:val="28"/>
          <w:szCs w:val="28"/>
        </w:rPr>
        <w:t xml:space="preserve">2.  Detailed breakdown (firm)</w:t>
      </w:r>
    </w:p>
    <w:p>
      <w:pPr>
        <w:spacing w:after="120" w:before="0"/>
      </w:pPr>
      <w:r>
        <w:rPr>
          <w:rFonts w:ascii="Arial" w:cs="Arial" w:eastAsia="Arial" w:hAnsi="Arial"/>
          <w:sz w:val="21"/>
          <w:szCs w:val="21"/>
        </w:rPr>
        <w:t xml:space="preserve">Every confirmed item, grouped by area, with firm hours. Client decisions are folded into each line.</w:t>
      </w:r>
    </w:p>
    <w:p>
      <w:pPr>
        <w:pStyle w:val="Heading2"/>
        <w:spacing w:after="100" w:before="230"/>
      </w:pPr>
      <w:r>
        <w:rPr>
          <w:rFonts w:ascii="Arial" w:cs="Arial" w:eastAsia="Arial" w:hAnsi="Arial"/>
          <w:b/>
          <w:bCs/>
          <w:color w:val="070B14"/>
          <w:sz w:val="23"/>
          <w:szCs w:val="23"/>
        </w:rPr>
        <w:t xml:space="preserve">2.1  Create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tblHeader/>
        </w:trPr>
        <w:tc>
          <w:tcPr>
            <w:tcW w:type="dxa" w:w="76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Requested change</w:t>
            </w:r>
          </w:p>
        </w:tc>
        <w:tc>
          <w:tcPr>
            <w:tcW w:type="dxa" w:w="17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Hours</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Rename First / Last Name to “Primary Borrower First / Last Name”</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0.25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“Married or common law” checkbox + conditional “Is the spouse on the application?” + “Check if no”; if No, credit notes become mandatory</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1.5</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Add “Reverse Mortgage” checkbox to the Deal Information checkboxes</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0.25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“Total value of assets (liquid)” + “Total value of all assets” — required when Networth is checked</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“How many titles are the doors on?” numeric input (after doors)</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Fix “Multiple” typo; Credit Issues → checkboxes with the spec value list</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Down Payment Source → checkboxes (multiple sources) with the spec value list; Borrowed folds in</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“TransUnion is being used” checkbox + note prompt</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0.5</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Rename to “Foreign Income / Down Payment Country”; required when foreign funds OR foreign income is chosen</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0.75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Info (i) buttons with popups for GDS, TDS, and the 4 notes (client-provided text)</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Add Yukon, Northwest Territories, Nunavut to the Province dropdown</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0.25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Upload 2 PDFs (engagement/consent + photo ID); </w:t>
            </w:r>
            <w:r>
              <w:rPr>
                <w:rFonts w:ascii="Arial" w:cs="Arial" w:eastAsia="Arial" w:hAnsi="Arial"/>
                <w:b/>
                <w:bCs/>
                <w:sz w:val="19"/>
                <w:szCs w:val="19"/>
              </w:rPr>
              <w:t xml:space="preserve">store 120 days then auto-delete</w:t>
            </w:r>
            <w:r>
              <w:rPr>
                <w:rFonts w:ascii="Arial" w:cs="Arial" w:eastAsia="Arial" w:hAnsi="Arial"/>
                <w:sz w:val="19"/>
                <w:szCs w:val="19"/>
              </w:rPr>
              <w:t xml:space="preserve">; deal → Draft if missing; AI name-match vs Primary Borrower name, show both names on the invoice if a preferred-name variance</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5</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“No lender exceptions required” checkbox — auto-checked when all 4 notes are empty (also gates the auto-offer)</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Carry over the earlier option-set alignment (Occupancy, Purpose, Transaction Type, Mortgage Product, Income multi-select, Residency, Location)</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3.5</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034CB6" w:sz="18"/>
              <w:bottom w:val="single" w:color="D9DFE5" w:sz="2"/>
              <w:right w:val="single" w:color="D9DFE5" w:sz="2"/>
            </w:tcBorders>
            <w:shd w:fill="F3F5F8" w:val="clear"/>
            <w:tcMar>
              <w:top w:type="dxa" w:w="130"/>
              <w:left w:type="dxa" w:w="170"/>
              <w:bottom w:type="dxa" w:w="130"/>
              <w:right w:type="dxa" w:w="170"/>
            </w:tcMar>
          </w:tcPr>
          <w:p>
            <w:pPr>
              <w:spacing w:after="0"/>
            </w:pPr>
            <w:r>
              <w:rPr>
                <w:rFonts w:ascii="Arial" w:cs="Arial" w:eastAsia="Arial" w:hAnsi="Arial"/>
                <w:b/>
                <w:bCs/>
                <w:sz w:val="19"/>
                <w:szCs w:val="19"/>
              </w:rPr>
              <w:t xml:space="preserve">Subtotal — Create Deal:  </w:t>
            </w:r>
            <w:r>
              <w:rPr>
                <w:rFonts w:ascii="Arial" w:cs="Arial" w:eastAsia="Arial" w:hAnsi="Arial"/>
                <w:b/>
                <w:bCs/>
                <w:color w:val="034CB6"/>
                <w:sz w:val="19"/>
                <w:szCs w:val="19"/>
              </w:rPr>
              <w:t xml:space="preserve">21 h</w:t>
            </w:r>
          </w:p>
        </w:tc>
      </w:tr>
    </w:tbl>
    <w:p>
      <w:pPr>
        <w:pStyle w:val="Heading2"/>
        <w:spacing w:after="100" w:before="230"/>
      </w:pPr>
      <w:r>
        <w:rPr>
          <w:rFonts w:ascii="Arial" w:cs="Arial" w:eastAsia="Arial" w:hAnsi="Arial"/>
          <w:b/>
          <w:bCs/>
          <w:color w:val="070B14"/>
          <w:sz w:val="23"/>
          <w:szCs w:val="23"/>
        </w:rPr>
        <w:t xml:space="preserve">2.2  Broker Deal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tblHeader/>
        </w:trPr>
        <w:tc>
          <w:tcPr>
            <w:tcW w:type="dxa" w:w="76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Requested change</w:t>
            </w:r>
          </w:p>
        </w:tc>
        <w:tc>
          <w:tcPr>
            <w:tcW w:type="dxa" w:w="17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Hours</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Brokers can edit a submitted deal until it has an offer</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Submissions &amp; drafts deletable until an offer is accepted; if submitted, auto-remove from the lender portal</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034CB6" w:sz="18"/>
              <w:bottom w:val="single" w:color="D9DFE5" w:sz="2"/>
              <w:right w:val="single" w:color="D9DFE5" w:sz="2"/>
            </w:tcBorders>
            <w:shd w:fill="F3F5F8" w:val="clear"/>
            <w:tcMar>
              <w:top w:type="dxa" w:w="130"/>
              <w:left w:type="dxa" w:w="170"/>
              <w:bottom w:type="dxa" w:w="130"/>
              <w:right w:type="dxa" w:w="170"/>
            </w:tcMar>
          </w:tcPr>
          <w:p>
            <w:pPr>
              <w:spacing w:after="0"/>
            </w:pPr>
            <w:r>
              <w:rPr>
                <w:rFonts w:ascii="Arial" w:cs="Arial" w:eastAsia="Arial" w:hAnsi="Arial"/>
                <w:b/>
                <w:bCs/>
                <w:sz w:val="19"/>
                <w:szCs w:val="19"/>
              </w:rPr>
              <w:t xml:space="preserve">Subtotal — Broker Deal Room:  </w:t>
            </w:r>
            <w:r>
              <w:rPr>
                <w:rFonts w:ascii="Arial" w:cs="Arial" w:eastAsia="Arial" w:hAnsi="Arial"/>
                <w:b/>
                <w:bCs/>
                <w:color w:val="034CB6"/>
                <w:sz w:val="19"/>
                <w:szCs w:val="19"/>
              </w:rPr>
              <w:t xml:space="preserve">3.5 h</w:t>
            </w:r>
          </w:p>
        </w:tc>
      </w:tr>
    </w:tbl>
    <w:p>
      <w:pPr>
        <w:pStyle w:val="Heading2"/>
        <w:spacing w:after="100" w:before="230"/>
      </w:pPr>
      <w:r>
        <w:rPr>
          <w:rFonts w:ascii="Arial" w:cs="Arial" w:eastAsia="Arial" w:hAnsi="Arial"/>
          <w:b/>
          <w:bCs/>
          <w:color w:val="070B14"/>
          <w:sz w:val="23"/>
          <w:szCs w:val="23"/>
        </w:rPr>
        <w:t xml:space="preserve">2.3  Lender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tblHeader/>
        </w:trPr>
        <w:tc>
          <w:tcPr>
            <w:tcW w:type="dxa" w:w="76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Requested change</w:t>
            </w:r>
          </w:p>
        </w:tc>
        <w:tc>
          <w:tcPr>
            <w:tcW w:type="dxa" w:w="17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Hours</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Auto-deduct the platform bps from the lender's input (e.g. 100 bps on a 3-yr term shows −3 and confirms 97 bps). The net figure is labelled </w:t>
            </w:r>
            <w:r>
              <w:rPr>
                <w:rFonts w:ascii="Arial" w:cs="Arial" w:eastAsia="Arial" w:hAnsi="Arial"/>
                <w:b/>
                <w:bCs/>
                <w:sz w:val="19"/>
                <w:szCs w:val="19"/>
              </w:rPr>
              <w:t xml:space="preserve">“Final Commission Amount”</w:t>
            </w:r>
            <w:r>
              <w:rPr>
                <w:rFonts w:ascii="Arial" w:cs="Arial" w:eastAsia="Arial" w:hAnsi="Arial"/>
                <w:sz w:val="19"/>
                <w:szCs w:val="19"/>
              </w:rPr>
              <w:t xml:space="preserve">; contract fine print included below the breakdown.</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“Lender Fee % if applicable” input — optional, one decimal. Shown to the broker in the offer for comparison; does NOT affect the invoice (loan-pricing info only)</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Auto-offer engine: saved standard offers per product; </w:t>
            </w:r>
            <w:r>
              <w:rPr>
                <w:rFonts w:ascii="Arial" w:cs="Arial" w:eastAsia="Arial" w:hAnsi="Arial"/>
                <w:b/>
                <w:bCs/>
                <w:sz w:val="19"/>
                <w:szCs w:val="19"/>
              </w:rPr>
              <w:t xml:space="preserve">auto-sends only when the deal matches ALL of a saved filter's parameters AND all 4 notes are empty AND the “no exceptions” box is checked</w:t>
            </w:r>
            <w:r>
              <w:rPr>
                <w:rFonts w:ascii="Arial" w:cs="Arial" w:eastAsia="Arial" w:hAnsi="Arial"/>
                <w:sz w:val="19"/>
                <w:szCs w:val="19"/>
              </w:rPr>
              <w:t xml:space="preserve">; never on blocked-brokerage deals; daily confirmation email with edit link; optional end date; edit / delete. No daily cap.</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9</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Offer entry auto-loads deal/filter values (e.g. 5-yr fixed prefilled, editable); remember the user's last responses; always clear comments</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2.5</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Offers editable until accepted; on edit, notify the broker</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Replicate every new Create Deal field in the lender filter section</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3.5</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034CB6" w:sz="18"/>
              <w:bottom w:val="single" w:color="D9DFE5" w:sz="2"/>
              <w:right w:val="single" w:color="D9DFE5" w:sz="2"/>
            </w:tcBorders>
            <w:shd w:fill="F3F5F8" w:val="clear"/>
            <w:tcMar>
              <w:top w:type="dxa" w:w="130"/>
              <w:left w:type="dxa" w:w="170"/>
              <w:bottom w:type="dxa" w:w="130"/>
              <w:right w:type="dxa" w:w="170"/>
            </w:tcMar>
          </w:tcPr>
          <w:p>
            <w:pPr>
              <w:spacing w:after="0"/>
            </w:pPr>
            <w:r>
              <w:rPr>
                <w:rFonts w:ascii="Arial" w:cs="Arial" w:eastAsia="Arial" w:hAnsi="Arial"/>
                <w:b/>
                <w:bCs/>
                <w:sz w:val="19"/>
                <w:szCs w:val="19"/>
              </w:rPr>
              <w:t xml:space="preserve">Subtotal — Lender section:  </w:t>
            </w:r>
            <w:r>
              <w:rPr>
                <w:rFonts w:ascii="Arial" w:cs="Arial" w:eastAsia="Arial" w:hAnsi="Arial"/>
                <w:b/>
                <w:bCs/>
                <w:color w:val="034CB6"/>
                <w:sz w:val="19"/>
                <w:szCs w:val="19"/>
              </w:rPr>
              <w:t xml:space="preserve">20 h</w:t>
            </w:r>
          </w:p>
        </w:tc>
      </w:tr>
    </w:tbl>
    <w:p>
      <w:pPr>
        <w:pStyle w:val="Heading2"/>
        <w:spacing w:after="100" w:before="230"/>
      </w:pPr>
      <w:r>
        <w:rPr>
          <w:rFonts w:ascii="Arial" w:cs="Arial" w:eastAsia="Arial" w:hAnsi="Arial"/>
          <w:b/>
          <w:bCs/>
          <w:color w:val="070B14"/>
          <w:sz w:val="23"/>
          <w:szCs w:val="23"/>
        </w:rPr>
        <w:t xml:space="preserve">2.4  Additional / platform-wide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tblHeader/>
        </w:trPr>
        <w:tc>
          <w:tcPr>
            <w:tcW w:type="dxa" w:w="76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Requested change</w:t>
            </w:r>
          </w:p>
        </w:tc>
        <w:tc>
          <w:tcPr>
            <w:tcW w:type="dxa" w:w="17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Hours</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Prequal-to-Live-Deal flow: brokers upload a prequal, lenders bid with special fine print; broker “Move to Live Deal” button adds address/closing/COF. </w:t>
            </w:r>
            <w:r>
              <w:rPr>
                <w:rFonts w:ascii="Arial" w:cs="Arial" w:eastAsia="Arial" w:hAnsi="Arial"/>
                <w:b/>
                <w:bCs/>
                <w:sz w:val="19"/>
                <w:szCs w:val="19"/>
              </w:rPr>
              <w:t xml:space="preserve">Existing prequal offers carry over and remain acceptable; the deal does NOT re-enter the lender marketplace after conversion.</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7</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Acceptance-flow rework: </w:t>
            </w:r>
            <w:r>
              <w:rPr>
                <w:rFonts w:ascii="Arial" w:cs="Arial" w:eastAsia="Arial" w:hAnsi="Arial"/>
                <w:b/>
                <w:bCs/>
                <w:sz w:val="19"/>
                <w:szCs w:val="19"/>
              </w:rPr>
              <w:t xml:space="preserve">remove “Confirm Lender”</w:t>
            </w:r>
            <w:r>
              <w:rPr>
                <w:rFonts w:ascii="Arial" w:cs="Arial" w:eastAsia="Arial" w:hAnsi="Arial"/>
                <w:sz w:val="19"/>
                <w:szCs w:val="19"/>
              </w:rPr>
              <w:t xml:space="preserve"> — on Accept, immediately reveal the lender, create the invoice, and confirm the offer in the lender portal. Switch still cancels/deletes the invoice and marks the portal “Declined” (no lender notification).</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2.5</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Change list windows: New = 0–1 days (first 48 h), Maturing = 2–14 days, Expired = 15+ days</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Scrolling lender logos on the login page, with an admin way to add more over time</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Rebrand Loan Link → LenderMatch™ + logo across the app and all communications (incl. emails)</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3.5</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Broker-admin: add a field showing which broker submitted each deal</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0.5</w:t>
            </w:r>
          </w:p>
        </w:tc>
      </w:tr>
      <w:tr>
        <w:tc>
          <w:tcPr>
            <w:tcW w:type="dxa" w:w="7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Wire Contact-Us forms to email support@lendermatch.ca; add “Or email support@lendermatch.ca” footer</w:t>
            </w:r>
          </w:p>
        </w:tc>
        <w:tc>
          <w:tcPr>
            <w:tcW w:type="dxa" w:w="17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w:t>
            </w:r>
          </w:p>
        </w:tc>
      </w:tr>
      <w:tr>
        <w:tc>
          <w:tcPr>
            <w:tcW w:type="dxa" w:w="7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Connect the registered lendermatch.ca domain to the app (Vercel domain + Supabase Auth redirect URLs)</w:t>
            </w:r>
          </w:p>
        </w:tc>
        <w:tc>
          <w:tcPr>
            <w:tcW w:type="dxa" w:w="17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1.5</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034CB6" w:sz="18"/>
              <w:bottom w:val="single" w:color="D9DFE5" w:sz="2"/>
              <w:right w:val="single" w:color="D9DFE5" w:sz="2"/>
            </w:tcBorders>
            <w:shd w:fill="F3F5F8" w:val="clear"/>
            <w:tcMar>
              <w:top w:type="dxa" w:w="130"/>
              <w:left w:type="dxa" w:w="170"/>
              <w:bottom w:type="dxa" w:w="130"/>
              <w:right w:type="dxa" w:w="170"/>
            </w:tcMar>
          </w:tcPr>
          <w:p>
            <w:pPr>
              <w:spacing w:after="0"/>
            </w:pPr>
            <w:r>
              <w:rPr>
                <w:rFonts w:ascii="Arial" w:cs="Arial" w:eastAsia="Arial" w:hAnsi="Arial"/>
                <w:b/>
                <w:bCs/>
                <w:sz w:val="19"/>
                <w:szCs w:val="19"/>
              </w:rPr>
              <w:t xml:space="preserve">Subtotal — Additional:  </w:t>
            </w:r>
            <w:r>
              <w:rPr>
                <w:rFonts w:ascii="Arial" w:cs="Arial" w:eastAsia="Arial" w:hAnsi="Arial"/>
                <w:b/>
                <w:bCs/>
                <w:color w:val="034CB6"/>
                <w:sz w:val="19"/>
                <w:szCs w:val="19"/>
              </w:rPr>
              <w:t xml:space="preserve">19.5 h</w:t>
            </w:r>
          </w:p>
        </w:tc>
      </w:tr>
    </w:tbl>
    <w:p>
      <w:pPr>
        <w:pageBreakBefore/>
        <w:spacing w:after="0"/>
      </w:pPr>
      <w:r>
        <w:rPr>
          <w:rFonts w:ascii="Arial" w:cs="Arial" w:eastAsia="Arial" w:hAnsi="Arial"/>
        </w:rPr>
        <w:t xml:space="preserve"/>
      </w:r>
    </w:p>
    <w:p>
      <w:pPr>
        <w:pStyle w:val="Heading1"/>
        <w:spacing w:after="150" w:before="340"/>
      </w:pPr>
      <w:r>
        <w:rPr>
          <w:rFonts w:ascii="Arial" w:cs="Arial" w:eastAsia="Arial" w:hAnsi="Arial"/>
          <w:b/>
          <w:bCs/>
          <w:color w:val="034CB6"/>
          <w:sz w:val="28"/>
          <w:szCs w:val="28"/>
        </w:rPr>
        <w:t xml:space="preserve">3.  Execution plan (firm, by phase)</w:t>
      </w:r>
    </w:p>
    <w:p>
      <w:pPr>
        <w:spacing w:after="120" w:before="0"/>
      </w:pPr>
      <w:r>
        <w:rPr>
          <w:rFonts w:ascii="Arial" w:cs="Arial" w:eastAsia="Arial" w:hAnsi="Arial"/>
          <w:sz w:val="21"/>
          <w:szCs w:val="21"/>
        </w:rPr>
        <w:t xml:space="preserve">Delivered in three phases so visible value lands early and the higher-risk work is sequenced last.</w:t>
      </w:r>
    </w:p>
    <w:p>
      <w:pPr>
        <w:pStyle w:val="Heading2"/>
        <w:spacing w:after="100" w:before="230"/>
      </w:pPr>
      <w:r>
        <w:rPr>
          <w:rFonts w:ascii="Arial" w:cs="Arial" w:eastAsia="Arial" w:hAnsi="Arial"/>
          <w:b/>
          <w:bCs/>
          <w:color w:val="070B14"/>
          <w:sz w:val="23"/>
          <w:szCs w:val="23"/>
        </w:rPr>
        <w:t>Phase 1 — Quick wins, field changes &amp; alignment  ·  21 h</w:t>
      </w:r>
    </w:p>
    <w:p>
      <w:pPr>
        <w:spacing w:after="120" w:before="0"/>
      </w:pPr>
      <w:r>
        <w:rPr>
          <w:rFonts w:ascii="Arial" w:cs="Arial" w:eastAsia="Arial" w:hAnsi="Arial"/>
          <w:color w:val="5B6470"/>
          <w:sz w:val="21"/>
          <w:szCs w:val="21"/>
        </w:rPr>
        <w:t xml:space="preserve">Low-risk, high-visibility items you'll see immediately.</w:t>
      </w:r>
    </w:p>
    <w:p>
      <w:pPr>
        <w:pStyle w:val="ListParagraph"/>
        <w:numPr>
          <w:ilvl w:val="0"/>
          <w:numId w:val="2"/>
        </w:numPr>
        <w:spacing w:after="50"/>
      </w:pPr>
      <w:r>
        <w:rPr>
          <w:rFonts w:ascii="Arial" w:cs="Arial" w:eastAsia="Arial" w:hAnsi="Arial"/>
          <w:sz w:val="21"/>
          <w:szCs w:val="21"/>
        </w:rPr>
        <w:t xml:space="preserve">All Create Deal renames, new checkboxes and conditional fields (Primary Borrower, Married/common-law, Reverse Mortgage, assets, titles, TransUnion, “No exceptions required”).</w:t>
      </w:r>
    </w:p>
    <w:p>
      <w:pPr>
        <w:pStyle w:val="ListParagraph"/>
        <w:numPr>
          <w:ilvl w:val="0"/>
          <w:numId w:val="2"/>
        </w:numPr>
        <w:spacing w:after="50"/>
      </w:pPr>
      <w:r>
        <w:rPr>
          <w:rFonts w:ascii="Arial" w:cs="Arial" w:eastAsia="Arial" w:hAnsi="Arial"/>
          <w:sz w:val="21"/>
          <w:szCs w:val="21"/>
        </w:rPr>
        <w:t xml:space="preserve">Down Payment Source and Credit Issues converted to checkboxes with the correct spec values; the “Multiple” typo fix; northern provinces added; option-set alignment.</w:t>
      </w:r>
    </w:p>
    <w:p>
      <w:pPr>
        <w:pStyle w:val="ListParagraph"/>
        <w:numPr>
          <w:ilvl w:val="0"/>
          <w:numId w:val="2"/>
        </w:numPr>
        <w:spacing w:after="50"/>
      </w:pPr>
      <w:r>
        <w:rPr>
          <w:rFonts w:ascii="Arial" w:cs="Arial" w:eastAsia="Arial" w:hAnsi="Arial"/>
          <w:sz w:val="21"/>
          <w:szCs w:val="21"/>
        </w:rPr>
        <w:t xml:space="preserve">Info (i) buttons for GDS, TDS and the 4 notes; Foreign Income/Down Payment Country rename.</w:t>
      </w:r>
    </w:p>
    <w:p>
      <w:pPr>
        <w:pStyle w:val="ListParagraph"/>
        <w:numPr>
          <w:ilvl w:val="0"/>
          <w:numId w:val="2"/>
        </w:numPr>
        <w:spacing w:after="50"/>
      </w:pPr>
      <w:r>
        <w:rPr>
          <w:rFonts w:ascii="Arial" w:cs="Arial" w:eastAsia="Arial" w:hAnsi="Arial"/>
          <w:sz w:val="21"/>
          <w:szCs w:val="21"/>
        </w:rPr>
        <w:t xml:space="preserve">Lender Fee % input; the bps auto-deduct display with the “Final Commission Amount” label and contract fine print; broker-admin “who is the broker” field.</w:t>
      </w:r>
    </w:p>
    <w:p>
      <w:pPr>
        <w:pStyle w:val="ListParagraph"/>
        <w:numPr>
          <w:ilvl w:val="0"/>
          <w:numId w:val="2"/>
        </w:numPr>
        <w:spacing w:after="50"/>
      </w:pPr>
      <w:r>
        <w:rPr>
          <w:rFonts w:ascii="Arial" w:cs="Arial" w:eastAsia="Arial" w:hAnsi="Arial"/>
          <w:sz w:val="21"/>
          <w:szCs w:val="21"/>
        </w:rPr>
        <w:t xml:space="preserve">Contact-Us email wiring to support@lendermatch.ca; list windows updated to New 0–1 / Maturing 2–14 / Expired 15+.</w:t>
      </w:r>
    </w:p>
    <w:p>
      <w:pPr>
        <w:pStyle w:val="Heading2"/>
        <w:spacing w:after="100" w:before="230"/>
      </w:pPr>
      <w:r>
        <w:rPr>
          <w:rFonts w:ascii="Arial" w:cs="Arial" w:eastAsia="Arial" w:hAnsi="Arial"/>
          <w:b/>
          <w:bCs/>
          <w:color w:val="070B14"/>
          <w:sz w:val="23"/>
          <w:szCs w:val="23"/>
        </w:rPr>
        <w:t>Phase 2 — Standard features, acceptance rework &amp; rebrand  ·  19 h</w:t>
      </w:r>
    </w:p>
    <w:p>
      <w:pPr>
        <w:spacing w:after="120" w:before="0"/>
      </w:pPr>
      <w:r>
        <w:rPr>
          <w:rFonts w:ascii="Arial" w:cs="Arial" w:eastAsia="Arial" w:hAnsi="Arial"/>
          <w:color w:val="5B6470"/>
          <w:sz w:val="21"/>
          <w:szCs w:val="21"/>
        </w:rPr>
        <w:t xml:space="preserve">Medium-effort workflow features and the brand change.</w:t>
      </w:r>
    </w:p>
    <w:p>
      <w:pPr>
        <w:pStyle w:val="ListParagraph"/>
        <w:numPr>
          <w:ilvl w:val="0"/>
          <w:numId w:val="2"/>
        </w:numPr>
        <w:spacing w:after="50"/>
      </w:pPr>
      <w:r>
        <w:rPr>
          <w:rFonts w:ascii="Arial" w:cs="Arial" w:eastAsia="Arial" w:hAnsi="Arial"/>
          <w:sz w:val="21"/>
          <w:szCs w:val="21"/>
        </w:rPr>
        <w:t xml:space="preserve">Brokers edit deals until an offer exists; delete submissions/drafts until acceptance, with auto-removal from the lender portal.</w:t>
      </w:r>
    </w:p>
    <w:p>
      <w:pPr>
        <w:pStyle w:val="ListParagraph"/>
        <w:numPr>
          <w:ilvl w:val="0"/>
          <w:numId w:val="2"/>
        </w:numPr>
        <w:spacing w:after="50"/>
      </w:pPr>
      <w:r>
        <w:rPr>
          <w:rFonts w:ascii="Arial" w:cs="Arial" w:eastAsia="Arial" w:hAnsi="Arial"/>
          <w:sz w:val="21"/>
          <w:szCs w:val="21"/>
        </w:rPr>
        <w:t xml:space="preserve">Offer entry prefill + remember-last-response (comments always cleared); offers editable until accepted with broker notification.</w:t>
      </w:r>
    </w:p>
    <w:p>
      <w:pPr>
        <w:pStyle w:val="ListParagraph"/>
        <w:numPr>
          <w:ilvl w:val="0"/>
          <w:numId w:val="2"/>
        </w:numPr>
        <w:spacing w:after="50"/>
      </w:pPr>
      <w:r>
        <w:rPr>
          <w:rFonts w:ascii="Arial" w:cs="Arial" w:eastAsia="Arial" w:hAnsi="Arial"/>
          <w:b/>
          <w:bCs/>
          <w:sz w:val="21"/>
          <w:szCs w:val="21"/>
        </w:rPr>
        <w:t xml:space="preserve">Acceptance-flow rework: </w:t>
      </w:r>
      <w:r>
        <w:rPr>
          <w:rFonts w:ascii="Arial" w:cs="Arial" w:eastAsia="Arial" w:hAnsi="Arial"/>
          <w:sz w:val="21"/>
          <w:szCs w:val="21"/>
        </w:rPr>
        <w:t xml:space="preserve">remove “Confirm Lender”; on Accept, reveal the lender, create the invoice and confirm in the lender portal in one step. Switch cancels/deletes the invoice and marks “Declined”.</w:t>
      </w:r>
    </w:p>
    <w:p>
      <w:pPr>
        <w:pStyle w:val="ListParagraph"/>
        <w:numPr>
          <w:ilvl w:val="0"/>
          <w:numId w:val="2"/>
        </w:numPr>
        <w:spacing w:after="50"/>
      </w:pPr>
      <w:r>
        <w:rPr>
          <w:rFonts w:ascii="Arial" w:cs="Arial" w:eastAsia="Arial" w:hAnsi="Arial"/>
          <w:sz w:val="21"/>
          <w:szCs w:val="21"/>
        </w:rPr>
        <w:t xml:space="preserve">Replicate all new Create Deal fields in the lender filters.</w:t>
      </w:r>
    </w:p>
    <w:p>
      <w:pPr>
        <w:pStyle w:val="ListParagraph"/>
        <w:numPr>
          <w:ilvl w:val="0"/>
          <w:numId w:val="2"/>
        </w:numPr>
        <w:spacing w:after="50"/>
      </w:pPr>
      <w:r>
        <w:rPr>
          <w:rFonts w:ascii="Arial" w:cs="Arial" w:eastAsia="Arial" w:hAnsi="Arial"/>
          <w:sz w:val="21"/>
          <w:szCs w:val="21"/>
        </w:rPr>
        <w:t xml:space="preserve">Rebrand to LenderMatch™ across the app and emails; connect the lendermatch.ca domain.</w:t>
      </w:r>
    </w:p>
    <w:p>
      <w:pPr>
        <w:pStyle w:val="Heading2"/>
        <w:spacing w:after="100" w:before="230"/>
      </w:pPr>
      <w:r>
        <w:rPr>
          <w:rFonts w:ascii="Arial" w:cs="Arial" w:eastAsia="Arial" w:hAnsi="Arial"/>
          <w:b/>
          <w:bCs/>
          <w:color w:val="070B14"/>
          <w:sz w:val="23"/>
          <w:szCs w:val="23"/>
        </w:rPr>
        <w:t>Phase 3 — Heavy features  ·  24 h</w:t>
      </w:r>
    </w:p>
    <w:p>
      <w:pPr>
        <w:spacing w:after="120" w:before="0"/>
      </w:pPr>
      <w:r>
        <w:rPr>
          <w:rFonts w:ascii="Arial" w:cs="Arial" w:eastAsia="Arial" w:hAnsi="Arial"/>
          <w:color w:val="5B6470"/>
          <w:sz w:val="21"/>
          <w:szCs w:val="21"/>
        </w:rPr>
        <w:t xml:space="preserve">Higher technical and compliance content; sequenced last.</w:t>
      </w:r>
    </w:p>
    <w:p>
      <w:pPr>
        <w:pStyle w:val="ListParagraph"/>
        <w:numPr>
          <w:ilvl w:val="0"/>
          <w:numId w:val="2"/>
        </w:numPr>
        <w:spacing w:after="50"/>
      </w:pPr>
      <w:r>
        <w:rPr>
          <w:rFonts w:ascii="Arial" w:cs="Arial" w:eastAsia="Arial" w:hAnsi="Arial"/>
          <w:sz w:val="21"/>
          <w:szCs w:val="21"/>
        </w:rPr>
        <w:t xml:space="preserve">Document upload (2 PDFs) with </w:t>
      </w:r>
      <w:r>
        <w:rPr>
          <w:rFonts w:ascii="Arial" w:cs="Arial" w:eastAsia="Arial" w:hAnsi="Arial"/>
          <w:b/>
          <w:bCs/>
          <w:sz w:val="21"/>
          <w:szCs w:val="21"/>
        </w:rPr>
        <w:t xml:space="preserve">120-day retention then automatic deletion</w:t>
      </w:r>
      <w:r>
        <w:rPr>
          <w:rFonts w:ascii="Arial" w:cs="Arial" w:eastAsia="Arial" w:hAnsi="Arial"/>
          <w:sz w:val="21"/>
          <w:szCs w:val="21"/>
        </w:rPr>
        <w:t xml:space="preserve">, draft-gating, and AI name-matching against the Primary Borrower name (both names surfaced on the invoice for preferred-name variances).</w:t>
      </w:r>
    </w:p>
    <w:p>
      <w:pPr>
        <w:pStyle w:val="ListParagraph"/>
        <w:numPr>
          <w:ilvl w:val="0"/>
          <w:numId w:val="2"/>
        </w:numPr>
        <w:spacing w:after="50"/>
      </w:pPr>
      <w:r>
        <w:rPr>
          <w:rFonts w:ascii="Arial" w:cs="Arial" w:eastAsia="Arial" w:hAnsi="Arial"/>
          <w:b/>
          <w:bCs/>
          <w:sz w:val="21"/>
          <w:szCs w:val="21"/>
        </w:rPr>
        <w:t xml:space="preserve">Auto-offer engine: </w:t>
      </w:r>
      <w:r>
        <w:rPr>
          <w:rFonts w:ascii="Arial" w:cs="Arial" w:eastAsia="Arial" w:hAnsi="Arial"/>
          <w:sz w:val="21"/>
          <w:szCs w:val="21"/>
        </w:rPr>
        <w:t xml:space="preserve">saved standard offers, auto-send only on full-filter matches with zero notes and the “no exceptions” box checked, never on blocked brokerages; daily confirmation emails with edit links; optional end dates; edit/delete; no daily cap.</w:t>
      </w:r>
    </w:p>
    <w:p>
      <w:pPr>
        <w:pStyle w:val="ListParagraph"/>
        <w:numPr>
          <w:ilvl w:val="0"/>
          <w:numId w:val="2"/>
        </w:numPr>
        <w:spacing w:after="50"/>
      </w:pPr>
      <w:r>
        <w:rPr>
          <w:rFonts w:ascii="Arial" w:cs="Arial" w:eastAsia="Arial" w:hAnsi="Arial"/>
          <w:sz w:val="21"/>
          <w:szCs w:val="21"/>
        </w:rPr>
        <w:t xml:space="preserve">Prequal-to-Live-Deal flow: special fine print, “Move to Live Deal” conversion, carried-over offers, no re-entry to the marketplace.</w:t>
      </w:r>
    </w:p>
    <w:p>
      <w:pPr>
        <w:pStyle w:val="ListParagraph"/>
        <w:numPr>
          <w:ilvl w:val="0"/>
          <w:numId w:val="2"/>
        </w:numPr>
        <w:spacing w:after="50"/>
      </w:pPr>
      <w:r>
        <w:rPr>
          <w:rFonts w:ascii="Arial" w:cs="Arial" w:eastAsia="Arial" w:hAnsi="Arial"/>
          <w:sz w:val="21"/>
          <w:szCs w:val="21"/>
        </w:rPr>
        <w:t xml:space="preserve">Scrolling lender logos on the login page with an admin way to add more.</w:t>
      </w:r>
    </w:p>
    <w:p>
      <w:pPr>
        <w:spacing w:after="80"/>
      </w:pPr>
      <w:r>
        <w:rPr>
          <w:rFonts w:ascii="Arial" w:cs="Arial" w:eastAsia="Arial" w:hAnsi="Arial"/>
        </w:rPr>
        <w:t xml:space="preserve"/>
      </w:r>
    </w:p>
    <w:p>
      <w:pPr>
        <w:spacing w:after="60" w:before="0"/>
      </w:pPr>
      <w:r>
        <w:rPr>
          <w:rFonts w:ascii="Arial" w:cs="Arial" w:eastAsia="Arial" w:hAnsi="Arial"/>
          <w:b/>
          <w:bCs/>
          <w:color w:val="034CB6"/>
          <w:sz w:val="21"/>
          <w:szCs w:val="21"/>
        </w:rPr>
        <w:t xml:space="preserve">Phase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66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Deliverable</w:t>
            </w:r>
          </w:p>
        </w:tc>
        <w:tc>
          <w:tcPr>
            <w:tcW w:type="dxa" w:w="18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Hours</w:t>
            </w:r>
          </w:p>
        </w:tc>
      </w:tr>
      <w:tr>
        <w:tc>
          <w:tcPr>
            <w:tcW w:type="dxa" w:w="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1</w:t>
            </w:r>
          </w:p>
        </w:tc>
        <w:tc>
          <w:tcPr>
            <w:tcW w:type="dxa" w:w="6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Field changes, alignment, quick wins</w:t>
            </w:r>
          </w:p>
        </w:tc>
        <w:tc>
          <w:tcPr>
            <w:tcW w:type="dxa" w:w="18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21</w:t>
            </w:r>
          </w:p>
        </w:tc>
      </w:tr>
      <w:tr>
        <w:tc>
          <w:tcPr>
            <w:tcW w:type="dxa" w:w="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2</w:t>
            </w:r>
          </w:p>
        </w:tc>
        <w:tc>
          <w:tcPr>
            <w:tcW w:type="dxa" w:w="6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Standard features, acceptance rework, rebrand, domain</w:t>
            </w:r>
          </w:p>
        </w:tc>
        <w:tc>
          <w:tcPr>
            <w:tcW w:type="dxa" w:w="18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pPr>
              <w:jc w:val="center"/>
            </w:pPr>
            <w:r>
              <w:rPr>
                <w:rFonts w:ascii="Arial" w:cs="Arial" w:eastAsia="Arial" w:hAnsi="Arial"/>
                <w:b/>
                <w:bCs/>
                <w:sz w:val="19"/>
                <w:szCs w:val="19"/>
              </w:rPr>
              <w:t>19</w:t>
            </w:r>
          </w:p>
        </w:tc>
      </w:tr>
      <w:tr>
        <w:tc>
          <w:tcPr>
            <w:tcW w:type="dxa" w:w="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3</w:t>
            </w:r>
          </w:p>
        </w:tc>
        <w:tc>
          <w:tcPr>
            <w:tcW w:type="dxa" w:w="66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Documents + AI, auto-offer, prequal flow, logos</w:t>
            </w:r>
          </w:p>
        </w:tc>
        <w:tc>
          <w:tcPr>
            <w:tcW w:type="dxa" w:w="18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pPr>
              <w:jc w:val="center"/>
            </w:pPr>
            <w:r>
              <w:rPr>
                <w:rFonts w:ascii="Arial" w:cs="Arial" w:eastAsia="Arial" w:hAnsi="Arial"/>
                <w:b/>
                <w:bCs/>
                <w:sz w:val="19"/>
                <w:szCs w:val="19"/>
              </w:rPr>
              <w:t>24</w:t>
            </w:r>
          </w:p>
        </w:tc>
      </w:tr>
      <w:tr>
        <w:tc>
          <w:tcPr>
            <w:tcW w:type="dxa" w:w="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b/>
                <w:bCs/>
                <w:color w:val="034CB6"/>
                <w:sz w:val="19"/>
                <w:szCs w:val="19"/>
              </w:rPr>
              <w:t xml:space="preserve">Total</w:t>
            </w:r>
          </w:p>
        </w:tc>
        <w:tc>
          <w:tcPr>
            <w:tcW w:type="dxa" w:w="66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b/>
                <w:bCs/>
                <w:color w:val="034CB6"/>
                <w:sz w:val="19"/>
                <w:szCs w:val="19"/>
              </w:rPr>
              <w:t xml:space="preserve"/>
            </w:r>
          </w:p>
        </w:tc>
        <w:tc>
          <w:tcPr>
            <w:tcW w:type="dxa" w:w="18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b/>
                <w:bCs/>
                <w:color w:val="034CB6"/>
                <w:sz w:val="19"/>
                <w:szCs w:val="19"/>
              </w:rPr>
              <w:t>64 h</w:t>
            </w:r>
          </w:p>
        </w:tc>
      </w:tr>
    </w:tbl>
    <w:p>
      <w:pPr>
        <w:pageBreakBefore/>
        <w:spacing w:after="0"/>
      </w:pPr>
      <w:r>
        <w:rPr>
          <w:rFonts w:ascii="Arial" w:cs="Arial" w:eastAsia="Arial" w:hAnsi="Arial"/>
        </w:rPr>
        <w:t xml:space="preserve"/>
      </w:r>
    </w:p>
    <w:p>
      <w:pPr>
        <w:pStyle w:val="Heading1"/>
        <w:spacing w:after="150" w:before="340"/>
      </w:pPr>
      <w:r>
        <w:rPr>
          <w:rFonts w:ascii="Arial" w:cs="Arial" w:eastAsia="Arial" w:hAnsi="Arial"/>
          <w:b/>
          <w:bCs/>
          <w:color w:val="034CB6"/>
          <w:sz w:val="28"/>
          <w:szCs w:val="28"/>
        </w:rPr>
        <w:t xml:space="preserve">4.  Confirmed decisions (for the record)</w:t>
      </w:r>
    </w:p>
    <w:p>
      <w:pPr>
        <w:spacing w:after="120" w:before="0"/>
      </w:pPr>
      <w:r>
        <w:rPr>
          <w:rFonts w:ascii="Arial" w:cs="Arial" w:eastAsia="Arial" w:hAnsi="Arial"/>
          <w:sz w:val="21"/>
          <w:szCs w:val="21"/>
        </w:rPr>
        <w:t xml:space="preserve">The rules below are locked from the client's answers and drive the build. Listed here so both sides share one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Topic</w:t>
            </w:r>
          </w:p>
        </w:tc>
        <w:tc>
          <w:tcPr>
            <w:tcW w:type="dxa" w:w="7460"/>
            <w:tcBorders>
              <w:top w:val="single" w:color="D9DFE5" w:sz="2"/>
              <w:left w:val="single" w:color="D9DFE5" w:sz="2"/>
              <w:bottom w:val="single" w:color="D9DFE5" w:sz="2"/>
              <w:right w:val="single" w:color="D9DFE5" w:sz="2"/>
            </w:tcBorders>
            <w:shd w:fill="034CB6"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Confirmed rule</w:t>
            </w:r>
          </w:p>
        </w:tc>
      </w:tr>
      <w:tr>
        <w:tc>
          <w:tcPr>
            <w:tcW w:type="dxa" w:w="1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Documents + retention</w:t>
            </w:r>
          </w:p>
        </w:tc>
        <w:tc>
          <w:tcPr>
            <w:tcW w:type="dxa" w:w="74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Upload consent form + 1 photo ID on the Property step. Deal goes to Draft until both are uploaded. Stored 120 days after the closing date, then automatically deleted.</w:t>
            </w:r>
          </w:p>
        </w:tc>
      </w:tr>
      <w:tr>
        <w:tc>
          <w:tcPr>
            <w:tcW w:type="dxa" w:w="1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AI name-matching</w:t>
            </w:r>
          </w:p>
        </w:tc>
        <w:tc>
          <w:tcPr>
            <w:tcW w:type="dxa" w:w="74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Compare the document name against the Primary Borrower's First + Last Name. Preferred-name variances (e.g. Mary / Maria) are allowed, but both names are shown on the invoice so the lender can reconcile.</w:t>
            </w:r>
          </w:p>
        </w:tc>
      </w:tr>
      <w:tr>
        <w:tc>
          <w:tcPr>
            <w:tcW w:type="dxa" w:w="1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Auto-offer trigger</w:t>
            </w:r>
          </w:p>
        </w:tc>
        <w:tc>
          <w:tcPr>
            <w:tcW w:type="dxa" w:w="74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Sends only when ALL are true: the deal matches every parameter of a saved filter; all 4 notes sections are empty; and the “No lender exceptions required” box is checked. Otherwise it does not send.</w:t>
            </w:r>
          </w:p>
        </w:tc>
      </w:tr>
      <w:tr>
        <w:tc>
          <w:tcPr>
            <w:tcW w:type="dxa" w:w="1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Auto-offer guardrails</w:t>
            </w:r>
          </w:p>
        </w:tc>
        <w:tc>
          <w:tcPr>
            <w:tcW w:type="dxa" w:w="74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Never sends on deals from blocked brokerages (blocked deals aren't shown to that lender anyway). No daily cap. Already-declined deals aren't a factor — the auto-offer fires on upload, before a lender would ever see the deal to decline it.</w:t>
            </w:r>
          </w:p>
        </w:tc>
      </w:tr>
      <w:tr>
        <w:tc>
          <w:tcPr>
            <w:tcW w:type="dxa" w:w="1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Lender Fee %</w:t>
            </w:r>
          </w:p>
        </w:tc>
        <w:tc>
          <w:tcPr>
            <w:tcW w:type="dxa" w:w="74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Optional, one decimal. Loan-pricing information shown to the broker in the offer for comparison. Does NOT affect the invoice.</w:t>
            </w:r>
          </w:p>
        </w:tc>
      </w:tr>
      <w:tr>
        <w:tc>
          <w:tcPr>
            <w:tcW w:type="dxa" w:w="1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Confirm Lender removed</w:t>
            </w:r>
          </w:p>
        </w:tc>
        <w:tc>
          <w:tcPr>
            <w:tcW w:type="dxa" w:w="74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On Accept, the lender is revealed and — in the same step — the invoice is created and the offer is confirmed in the lender portal. Switch cancels &amp; deletes that invoice and marks the portal “Declined” (no lender notification).</w:t>
            </w:r>
          </w:p>
        </w:tc>
      </w:tr>
      <w:tr>
        <w:tc>
          <w:tcPr>
            <w:tcW w:type="dxa" w:w="1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Commission display</w:t>
            </w:r>
          </w:p>
        </w:tc>
        <w:tc>
          <w:tcPr>
            <w:tcW w:type="dxa" w:w="74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The net figure the broker receives is labelled “Final Commission Amount”, always shown in bps. Contract fine print (client-provided) appears below the breakdown authorizing the LenderMatch service-fee deduction.</w:t>
            </w:r>
          </w:p>
        </w:tc>
      </w:tr>
      <w:tr>
        <w:tc>
          <w:tcPr>
            <w:tcW w:type="dxa" w:w="1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List windows</w:t>
            </w:r>
          </w:p>
        </w:tc>
        <w:tc>
          <w:tcPr>
            <w:tcW w:type="dxa" w:w="74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New = 0–1 days (first 48 h) · Maturing = 2–14 days · Expired = 15+ days.</w:t>
            </w:r>
          </w:p>
        </w:tc>
      </w:tr>
      <w:tr>
        <w:tc>
          <w:tcPr>
            <w:tcW w:type="dxa" w:w="1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Prequal → Live Deal</w:t>
            </w:r>
          </w:p>
        </w:tc>
        <w:tc>
          <w:tcPr>
            <w:tcW w:type="dxa" w:w="74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Offers placed on the prequal carry over and stay acceptable after conversion. The deal does NOT re-enter the lender marketplace once converted.</w:t>
            </w:r>
          </w:p>
        </w:tc>
      </w:tr>
      <w:tr>
        <w:tc>
          <w:tcPr>
            <w:tcW w:type="dxa" w:w="1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Hosting / infrastructure</w:t>
            </w:r>
          </w:p>
        </w:tc>
        <w:tc>
          <w:tcPr>
            <w:tcW w:type="dxa" w:w="74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Runs on the delivered React + Supabase stack (Postgres + RLS + pg_cron + Storage + Edge Functions) on Supabase + Vercel — already live. Scheduled jobs, storage and transactional email are provisioned; no Bubble plan or Workload-Unit budget applies. Free/low-tier usage is monitored.</w:t>
            </w:r>
          </w:p>
        </w:tc>
      </w:tr>
      <w:tr>
        <w:tc>
          <w:tcPr>
            <w:tcW w:type="dxa" w:w="190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 xml:space="preserve">lendermatch.ca domain</w:t>
            </w:r>
          </w:p>
        </w:tc>
        <w:tc>
          <w:tcPr>
            <w:tcW w:type="dxa" w:w="7460"/>
            <w:tcBorders>
              <w:top w:val="single" w:color="D9DFE5" w:sz="2"/>
              <w:left w:val="single" w:color="D9DFE5" w:sz="2"/>
              <w:bottom w:val="single" w:color="D9DFE5" w:sz="2"/>
              <w:right w:val="single" w:color="D9DFE5" w:sz="2"/>
            </w:tcBorders>
            <w:shd w:fill="FFFFFF" w:val="clear"/>
            <w:tcMar>
              <w:top w:type="dxa" w:w="80"/>
              <w:left w:type="dxa" w:w="120"/>
              <w:bottom w:type="dxa" w:w="80"/>
              <w:right w:type="dxa" w:w="120"/>
            </w:tcMar>
            <w:vAlign w:val="center"/>
          </w:tcPr>
          <w:p>
            <w:r>
              <w:rPr>
                <w:rFonts w:ascii="Arial" w:cs="Arial" w:eastAsia="Arial" w:hAnsi="Arial"/>
                <w:sz w:val="19"/>
                <w:szCs w:val="19"/>
              </w:rPr>
              <w:t>Client (Elizabeth) provides access; we connect it to the app (Vercel domain + Supabase Auth).</w:t>
            </w:r>
          </w:p>
        </w:tc>
      </w:tr>
      <w:tr>
        <w:tc>
          <w:tcPr>
            <w:tcW w:type="dxa" w:w="190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Deferred</w:t>
            </w:r>
          </w:p>
        </w:tc>
        <w:tc>
          <w:tcPr>
            <w:tcW w:type="dxa" w:w="7460"/>
            <w:tcBorders>
              <w:top w:val="single" w:color="D9DFE5" w:sz="2"/>
              <w:left w:val="single" w:color="D9DFE5" w:sz="2"/>
              <w:bottom w:val="single" w:color="D9DFE5" w:sz="2"/>
              <w:right w:val="single" w:color="D9DFE5" w:sz="2"/>
            </w:tcBorders>
            <w:shd w:fill="F3F5F8" w:val="clear"/>
            <w:tcMar>
              <w:top w:type="dxa" w:w="80"/>
              <w:left w:type="dxa" w:w="120"/>
              <w:bottom w:type="dxa" w:w="80"/>
              <w:right w:type="dxa" w:w="120"/>
            </w:tcMar>
            <w:vAlign w:val="center"/>
          </w:tcPr>
          <w:p>
            <w:r>
              <w:rPr>
                <w:rFonts w:ascii="Arial" w:cs="Arial" w:eastAsia="Arial" w:hAnsi="Arial"/>
                <w:sz w:val="19"/>
                <w:szCs w:val="19"/>
              </w:rPr>
              <w:t xml:space="preserve">Auto-block group (Merix/RMG/MCAP) and the declined-before lender dropdown are deferred to a later update — out of this quote.</w:t>
            </w:r>
          </w:p>
        </w:tc>
      </w:tr>
    </w:tbl>
    <w:p>
      <w:pPr>
        <w:pStyle w:val="Heading1"/>
        <w:spacing w:after="150" w:before="340"/>
      </w:pPr>
      <w:r>
        <w:rPr>
          <w:rFonts w:ascii="Arial" w:cs="Arial" w:eastAsia="Arial" w:hAnsi="Arial"/>
          <w:b/>
          <w:bCs/>
          <w:color w:val="034CB6"/>
          <w:sz w:val="28"/>
          <w:szCs w:val="28"/>
        </w:rPr>
        <w:t xml:space="preserve">5.  Fine print &amp; assumptions</w:t>
      </w:r>
    </w:p>
    <w:p>
      <w:pPr>
        <w:pStyle w:val="Heading3"/>
        <w:spacing w:after="80" w:before="180"/>
      </w:pPr>
      <w:r>
        <w:rPr>
          <w:rFonts w:ascii="Arial" w:cs="Arial" w:eastAsia="Arial" w:hAnsi="Arial"/>
          <w:b/>
          <w:bCs/>
          <w:color w:val="034CB6"/>
          <w:sz w:val="21"/>
          <w:szCs w:val="21"/>
        </w:rPr>
        <w:t xml:space="preserve">Client-provided commission fine print (to appear below the offer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034CB6" w:sz="18"/>
              <w:bottom w:val="single" w:color="D9DFE5" w:sz="2"/>
              <w:right w:val="single" w:color="D9DFE5" w:sz="2"/>
            </w:tcBorders>
            <w:shd w:fill="F3F5F8" w:val="clear"/>
            <w:tcMar>
              <w:top w:type="dxa" w:w="130"/>
              <w:left w:type="dxa" w:w="170"/>
              <w:bottom w:type="dxa" w:w="130"/>
              <w:right w:type="dxa" w:w="170"/>
            </w:tcMar>
          </w:tcPr>
          <w:p>
            <w:pPr>
              <w:spacing w:after="0"/>
            </w:pPr>
            <w:r>
              <w:rPr>
                <w:rFonts w:ascii="Arial" w:cs="Arial" w:eastAsia="Arial" w:hAnsi="Arial"/>
                <w:i/>
                <w:iCs/>
                <w:sz w:val="19"/>
                <w:szCs w:val="19"/>
              </w:rPr>
              <w:t xml:space="preserve">“The final commission amount displayed on your match reflects the net commission you will receive. By accepting this submission, you irrevocably authorize the lender to have deducted LenderMatch's applicable service fee from the gross commission payable in connection with this mortgage transaction and remit that amount directly to LenderMatch. This authorization is provided in accordance with, and is subject to, the Terms of Service.”</w:t>
            </w:r>
          </w:p>
        </w:tc>
      </w:tr>
    </w:tbl>
    <w:p>
      <w:pPr>
        <w:pStyle w:val="Heading3"/>
        <w:spacing w:after="80" w:before="180"/>
      </w:pPr>
      <w:r>
        <w:rPr>
          <w:rFonts w:ascii="Arial" w:cs="Arial" w:eastAsia="Arial" w:hAnsi="Arial"/>
          <w:b/>
          <w:bCs/>
          <w:color w:val="034CB6"/>
          <w:sz w:val="21"/>
          <w:szCs w:val="21"/>
        </w:rPr>
        <w:t xml:space="preserve">Assumptions</w:t>
      </w:r>
    </w:p>
    <w:p>
      <w:pPr>
        <w:pStyle w:val="ListParagraph"/>
        <w:numPr>
          <w:ilvl w:val="0"/>
          <w:numId w:val="2"/>
        </w:numPr>
        <w:spacing w:after="50"/>
      </w:pPr>
      <w:r>
        <w:rPr>
          <w:rFonts w:ascii="Arial" w:cs="Arial" w:eastAsia="Arial" w:hAnsi="Arial"/>
          <w:sz w:val="21"/>
          <w:szCs w:val="21"/>
        </w:rPr>
        <w:t>Estimates are firm hours with QA/testing included, and assume the delivered React + Supabase build (Loan Link) as the starting point — reusable platform infrastructure (auth, RLS, scheduled jobs, notifications and email, the match engine, invoice/PDF generation, and the centralized brand config) is already in place. Material new requests would be scoped separately.</w:t>
      </w:r>
    </w:p>
    <w:p>
      <w:pPr>
        <w:pStyle w:val="ListParagraph"/>
        <w:numPr>
          <w:ilvl w:val="0"/>
          <w:numId w:val="2"/>
        </w:numPr>
        <w:spacing w:after="50"/>
      </w:pPr>
      <w:r>
        <w:rPr>
          <w:rFonts w:ascii="Arial" w:cs="Arial" w:eastAsia="Arial" w:hAnsi="Arial"/>
          <w:sz w:val="21"/>
          <w:szCs w:val="21"/>
        </w:rPr>
        <w:t xml:space="preserve">The rebrand assumes the client provides the LenderMatch™ logo and final brand assets; we apply them across the app, emails and PDFs.</w:t>
      </w:r>
    </w:p>
    <w:p>
      <w:pPr>
        <w:pStyle w:val="ListParagraph"/>
        <w:numPr>
          <w:ilvl w:val="0"/>
          <w:numId w:val="2"/>
        </w:numPr>
        <w:spacing w:after="50"/>
      </w:pPr>
      <w:r>
        <w:rPr>
          <w:rFonts w:ascii="Arial" w:cs="Arial" w:eastAsia="Arial" w:hAnsi="Arial"/>
          <w:sz w:val="21"/>
          <w:szCs w:val="21"/>
        </w:rPr>
        <w:t xml:space="preserve">AI name-matching surfaces a probable mismatch for human review; it is an assistive check, not a legal identity verification.</w:t>
      </w:r>
    </w:p>
    <w:p>
      <w:pPr>
        <w:pStyle w:val="ListParagraph"/>
        <w:numPr>
          <w:ilvl w:val="0"/>
          <w:numId w:val="2"/>
        </w:numPr>
        <w:spacing w:after="50"/>
      </w:pPr>
      <w:r>
        <w:rPr>
          <w:rFonts w:ascii="Arial" w:cs="Arial" w:eastAsia="Arial" w:hAnsi="Arial"/>
          <w:sz w:val="21"/>
          <w:szCs w:val="21"/>
        </w:rPr>
        <w:t>The 120-day document deletion, the auto-offer daily email, and the monthly resets run as scheduled jobs (Supabase pg_cron), with email through the already-wired provider (Resend); free/low-tier hosting usage is monitored.</w:t>
      </w:r>
    </w:p>
    <w:p>
      <w:pPr>
        <w:pStyle w:val="ListParagraph"/>
        <w:numPr>
          <w:ilvl w:val="0"/>
          <w:numId w:val="2"/>
        </w:numPr>
        <w:spacing w:after="50"/>
      </w:pPr>
      <w:r>
        <w:rPr>
          <w:rFonts w:ascii="Arial" w:cs="Arial" w:eastAsia="Arial" w:hAnsi="Arial"/>
          <w:sz w:val="21"/>
          <w:szCs w:val="21"/>
        </w:rPr>
        <w:t xml:space="preserve">Where the original spec and these requests differ (e.g. list-window days, Confirm Lender), the client's confirmed instruction here governs; the build and internal documents are kept in sync.</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FE5" w:sz="2"/>
              <w:left w:val="single" w:color="034CB6" w:sz="18"/>
              <w:bottom w:val="single" w:color="D9DFE5" w:sz="2"/>
              <w:right w:val="single" w:color="D9DFE5" w:sz="2"/>
            </w:tcBorders>
            <w:shd w:fill="F3F5F8" w:val="clear"/>
            <w:tcMar>
              <w:top w:type="dxa" w:w="130"/>
              <w:left w:type="dxa" w:w="170"/>
              <w:bottom w:type="dxa" w:w="130"/>
              <w:right w:type="dxa" w:w="170"/>
            </w:tcMar>
          </w:tcPr>
          <w:p>
            <w:pPr>
              <w:spacing w:after="0"/>
            </w:pPr>
            <w:r>
              <w:rPr>
                <w:rFonts w:ascii="Arial" w:cs="Arial" w:eastAsia="Arial" w:hAnsi="Arial"/>
                <w:b/>
                <w:bCs/>
                <w:sz w:val="20"/>
                <w:szCs w:val="20"/>
              </w:rPr>
              <w:t xml:space="preserve">Next step.  </w:t>
            </w:r>
            <w:r>
              <w:rPr>
                <w:rFonts w:ascii="Arial" w:cs="Arial" w:eastAsia="Arial" w:hAnsi="Arial"/>
                <w:sz w:val="20"/>
                <w:szCs w:val="20"/>
              </w:rPr>
              <w:t xml:space="preserve">On written approval of this proposal and provision of the lendermatch.ca domain access and the LenderMatch™ logo, we schedule Phase 1 to begin immediately and invoice per phase as delivered.</w:t>
            </w:r>
          </w:p>
        </w:tc>
      </w:tr>
    </w:tbl>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FE5" w:sz="4" w:space="4"/>
      </w:pBdr>
      <w:tabs>
        <w:tab w:val="right" w:pos="9360"/>
      </w:tabs>
    </w:pPr>
    <w:r>
      <w:rPr>
        <w:rFonts w:ascii="Arial" w:cs="Arial" w:eastAsia="Arial" w:hAnsi="Arial"/>
        <w:color w:val="5B6470"/>
        <w:sz w:val="14"/>
        <w:szCs w:val="14"/>
      </w:rPr>
      <w:t xml:space="preserve">LenderMatch™ Mortgage Marketplace  ·  May 2026</w:t>
    </w:r>
    <w:r>
      <w:rPr>
        <w:rFonts w:ascii="Arial" w:cs="Arial" w:eastAsia="Arial" w:hAnsi="Arial"/>
        <w:color w:val="5B6470"/>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FE5" w:sz="4" w:space="4"/>
      </w:pBdr>
      <w:tabs>
        <w:tab w:val="right" w:pos="9360"/>
      </w:tabs>
    </w:pPr>
    <w:r>
      <w:rPr>
        <w:rFonts w:ascii="Arial" w:cs="Arial" w:eastAsia="Arial" w:hAnsi="Arial"/>
        <w:b/>
        <w:bCs/>
        <w:color w:val="034CB6"/>
        <w:sz w:val="15"/>
        <w:szCs w:val="15"/>
      </w:rPr>
      <w:t xml:space="preserve">LENDERMATCH™</w:t>
    </w:r>
    <w:r>
      <w:rPr>
        <w:rFonts w:ascii="Arial" w:cs="Arial" w:eastAsia="Arial" w:hAnsi="Arial"/>
        <w:color w:val="5B6470"/>
        <w:sz w:val="15"/>
        <w:szCs w:val="15"/>
      </w:rPr>
      <w:t xml:space="preserve">	Change Request — Round 3  ·  Final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70B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Arial" w:cs="Arial" w:eastAsia="Arial" w:hAnsi="Arial"/>
      <w:b/>
      <w:bCs/>
      <w:color w:val="034CB6"/>
      <w:sz w:val="28"/>
      <w:szCs w:val="28"/>
    </w:rPr>
  </w:style>
  <w:style w:type="paragraph" w:styleId="Heading2">
    <w:name w:val="Heading 2"/>
    <w:basedOn w:val="Normal"/>
    <w:next w:val="Normal"/>
    <w:qFormat/>
    <w:pPr>
      <w:spacing w:after="100" w:before="230"/>
      <w:outlineLvl w:val="1"/>
    </w:pPr>
    <w:rPr>
      <w:rFonts w:ascii="Arial" w:cs="Arial" w:eastAsia="Arial" w:hAnsi="Arial"/>
      <w:b/>
      <w:bCs/>
      <w:color w:val="070B14"/>
      <w:sz w:val="23"/>
      <w:szCs w:val="23"/>
    </w:rPr>
  </w:style>
  <w:style w:type="paragraph" w:styleId="Heading3">
    <w:name w:val="Heading 3"/>
    <w:basedOn w:val="Normal"/>
    <w:next w:val="Normal"/>
    <w:qFormat/>
    <w:pPr>
      <w:spacing w:after="80" w:before="180"/>
      <w:outlineLvl w:val="2"/>
    </w:pPr>
    <w:rPr>
      <w:rFonts w:ascii="Arial" w:cs="Arial" w:eastAsia="Arial" w:hAnsi="Arial"/>
      <w:b/>
      <w:bCs/>
      <w:color w:val="034CB6"/>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2026-07-01T21:36:38.686Z</dcterms:created>
  <dcterms:modified xsi:type="dcterms:W3CDTF">2026-07-01T21:36:38.686Z</dcterms:modified>
</cp:coreProperties>
</file>

<file path=docProps/custom.xml><?xml version="1.0" encoding="utf-8"?>
<Properties xmlns="http://schemas.openxmlformats.org/officeDocument/2006/custom-properties" xmlns:vt="http://schemas.openxmlformats.org/officeDocument/2006/docPropsVTypes"/>
</file>