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Annual carbon balance summary for organic (EF01) and conventional (EF02) fields, 2018–2021.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0" w:space="0" w:color="000000"/>
              <w:top w:val="single" w:sz="10" w:space="0" w:color="000000"/>
              <w:left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Field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Crop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Observation period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Days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Gap (%)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NEE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(gC m⁻²)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Harvest 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(gC m⁻²)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NECB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(gC m⁻²)</w:t>
            </w:r>
          </w:p>
        </w:tc>
        <w:tc>
          <w:tcPr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 balance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3" w:space="0" w:color="B3B3B3"/>
              <w:top w:val="single" w:sz="10" w:space="0" w:color="000000"/>
              <w:left w:val="single" w:sz="1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Conventional (EF02)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2018†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corn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 Apr–31 Dec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246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-46 ± 15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463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417 ± 15</w:t>
            </w:r>
          </w:p>
        </w:tc>
        <w:tc>
          <w:tcPr>
            <w:tcBorders>
              <w:bottom w:val="single" w:sz="3" w:space="0" w:color="B3B3B3"/>
              <w:top w:val="single" w:sz="10" w:space="0" w:color="000000"/>
              <w:left w:val="none" w:sz="0" w:space="0" w:color="000000"/>
              <w:right w:val="single" w:sz="1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2E7D32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2E7D32"/>
              </w:rPr>
              <w:t xml:space="preserve">Sink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3" w:space="0" w:color="B3B3B3"/>
              <w:top w:val="single" w:sz="3" w:space="0" w:color="B3B3B3"/>
              <w:left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soybeans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01 Jan–31 Dec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365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139 ± 23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293 ± 23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  <w:t xml:space="preserve">Source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3" w:space="0" w:color="B3B3B3"/>
              <w:top w:val="single" w:sz="3" w:space="0" w:color="B3B3B3"/>
              <w:left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barley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01 Jan–31 Dec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366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209 ± 7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299 ± 7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  <w:t xml:space="preserve">Source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3" w:space="0" w:color="B3B3B3"/>
              <w:top w:val="single" w:sz="3" w:space="0" w:color="B3B3B3"/>
              <w:left w:val="single" w:sz="1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2021†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soybeans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01 Jan–01 Oct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274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 ± NA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212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205 ± NA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single" w:sz="1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757575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757575"/>
              </w:rPr>
              <w:t xml:space="preserve">Near-neutral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0" w:space="0" w:color="000000"/>
              <w:top w:val="single" w:sz="3" w:space="0" w:color="B3B3B3"/>
              <w:left w:val="single" w:sz="1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(EF01)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2018†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corn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Aug–31 Dec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141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116 ± 3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218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334 ± 3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single" w:sz="1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  <w:t xml:space="preserve">Source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3" w:space="0" w:color="B3B3B3"/>
              <w:top w:val="single" w:sz="10" w:space="0" w:color="000000"/>
              <w:left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soybeans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01 Jan–31 Dec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365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-212 ± NA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-139 ± NA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2E7D32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2E7D32"/>
              </w:rPr>
              <w:t xml:space="preserve">Sink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3" w:space="0" w:color="B3B3B3"/>
              <w:top w:val="single" w:sz="3" w:space="0" w:color="B3B3B3"/>
              <w:left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barley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01 Jan–31 Dec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366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145 ± 24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258 ± 24</w:t>
            </w:r>
          </w:p>
        </w:tc>
        <w:tc>
          <w:tcPr>
            <w:tcBorders>
              <w:bottom w:val="single" w:sz="3" w:space="0" w:color="B3B3B3"/>
              <w:top w:val="single" w:sz="3" w:space="0" w:color="B3B3B3"/>
              <w:left w:val="none" w:sz="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C62828"/>
              </w:rPr>
              <w:t xml:space="preserve">Source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10" w:space="0" w:color="000000"/>
              <w:top w:val="single" w:sz="3" w:space="0" w:color="B3B3B3"/>
              <w:left w:val="single" w:sz="1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2021†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alfalfa hay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01 Jan–10 Aug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222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± 18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203 ± 18</w:t>
            </w:r>
          </w:p>
        </w:tc>
        <w:tc>
          <w:tcPr>
            <w:tcBorders>
              <w:bottom w:val="single" w:sz="10" w:space="0" w:color="000000"/>
              <w:top w:val="single" w:sz="3" w:space="0" w:color="B3B3B3"/>
              <w:left w:val="none" w:sz="0" w:space="0" w:color="000000"/>
              <w:right w:val="single" w:sz="1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757575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757575"/>
              </w:rPr>
              <w:t xml:space="preserve">Near-neutral</w:t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16"/>
                <w:szCs w:val="16"/>
                <w:color w:val="4D4D4D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6"/>
                <w:szCs w:val="16"/>
                <w:color w:val="4D4D4D"/>
              </w:rPr>
              <w:t xml:space="preserve">† Partial-year observations: 2018 data begins after tower installation; 2021 data ends at final harvest date (organic: 10 Aug; conventional: 1 Oct). Sink = net carbon uptake (NEE &lt; −20 gC m⁻²); Source = net carbon loss (NEE &gt; +20 gC m⁻²); Near-neutral = |​NEE​| ≤ 20 gC m⁻². Uncertainty = ±1.96 × propagated gap-filling prediction SE. Harvest C export treated as fixed (no uncertainty). NEE sign convention: negative = net carbon sink.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elizabethforbes</cp:lastModifiedBy>
  <cp:revision>9</cp:revision>
  <dcterms:created xsi:type="dcterms:W3CDTF">2017-02-28T11:18:00Z</dcterms:created>
  <dcterms:modified xsi:type="dcterms:W3CDTF">2026-04-01T17:05:49Z</dcterms:modified>
  <cp:category/>
</cp:coreProperties>
</file>