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ED421D">
        <w:rPr>
          <w:rFonts w:ascii="Arial" w:hAnsi="Arial" w:cs="Arial"/>
          <w:sz w:val="22"/>
          <w:szCs w:val="22"/>
        </w:rPr>
        <w:t>C</w:t>
      </w:r>
      <w:r w:rsidR="004C57B9">
        <w:rPr>
          <w:rFonts w:ascii="Arial" w:hAnsi="Arial" w:cs="Arial"/>
          <w:sz w:val="22"/>
          <w:szCs w:val="22"/>
        </w:rPr>
        <w:t>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11C55" w:rsidRPr="005C219B" w:rsidRDefault="00611C55" w:rsidP="00611C55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5C219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5C219B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Default="00611C55" w:rsidP="003D48E7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611C55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11C55" w:rsidRDefault="001104A4" w:rsidP="00C92FA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673557" w:rsidRDefault="00611C55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 denotes equal contribution</w:t>
      </w:r>
    </w:p>
    <w:p w:rsidR="00673557" w:rsidRDefault="001028E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E.A.*,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Moya-Flores F.</w:t>
      </w:r>
      <w:r w:rsidR="00611C55" w:rsidRPr="005C3D2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Keene Beach N.,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5D5558" w:rsidRPr="001B5438" w:rsidRDefault="00611C5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lastRenderedPageBreak/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D.N.,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</w:t>
      </w:r>
      <w:r w:rsidR="008D1D4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olved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metatranscriptomics.</w:t>
      </w:r>
      <w:r w:rsidR="009F3BC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5C219B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2020.</w:t>
      </w:r>
      <w:r w:rsidR="00CA270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CA270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CA2708" w:rsidRPr="00CA2708">
        <w:rPr>
          <w:rFonts w:ascii="Arial" w:hAnsi="Arial" w:cs="Arial"/>
          <w:color w:val="262626"/>
          <w:sz w:val="22"/>
          <w:szCs w:val="22"/>
        </w:rPr>
        <w:t>10.1101/2020.11.23.394700</w:t>
      </w:r>
      <w:r w:rsidR="001B5438">
        <w:rPr>
          <w:rFonts w:ascii="Arial" w:hAnsi="Arial" w:cs="Arial"/>
          <w:color w:val="262626"/>
          <w:sz w:val="22"/>
          <w:szCs w:val="22"/>
        </w:rPr>
        <w:t xml:space="preserve">. </w:t>
      </w:r>
      <w:r w:rsidR="001B5438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1028E5" w:rsidRDefault="001028E5" w:rsidP="001028E5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Software, Teaching Resources, and Editorials (No</w:t>
      </w:r>
      <w:r w:rsidR="008A003B">
        <w:rPr>
          <w:rFonts w:ascii="Arial" w:hAnsi="Arial" w:cs="Arial"/>
          <w:b/>
          <w:color w:val="2F5496" w:themeColor="accent1" w:themeShade="BF"/>
          <w:u w:val="single"/>
        </w:rPr>
        <w:t xml:space="preserve">n </w:t>
      </w:r>
      <w:r>
        <w:rPr>
          <w:rFonts w:ascii="Arial" w:hAnsi="Arial" w:cs="Arial"/>
          <w:b/>
          <w:color w:val="2F5496" w:themeColor="accent1" w:themeShade="BF"/>
          <w:u w:val="single"/>
        </w:rPr>
        <w:t>Peer-R</w:t>
      </w:r>
      <w:bookmarkStart w:id="0" w:name="_GoBack"/>
      <w:bookmarkEnd w:id="0"/>
      <w:r>
        <w:rPr>
          <w:rFonts w:ascii="Arial" w:hAnsi="Arial" w:cs="Arial"/>
          <w:b/>
          <w:color w:val="2F5496" w:themeColor="accent1" w:themeShade="BF"/>
          <w:u w:val="single"/>
        </w:rPr>
        <w:t>eviewed)</w:t>
      </w:r>
    </w:p>
    <w:p w:rsidR="008250ED" w:rsidRPr="008250ED" w:rsidRDefault="008250ED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 </w:t>
      </w:r>
      <w:r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8A0EB6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ED421D" w:rsidRPr="00ED421D" w:rsidRDefault="00ED421D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ED421D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C843C9" w:rsidRDefault="00C843C9" w:rsidP="005710F5">
      <w:pPr>
        <w:rPr>
          <w:rFonts w:ascii="Arial" w:hAnsi="Arial" w:cs="Arial"/>
          <w:i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CF7C8A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CF7C8A" w:rsidRPr="001C5D25" w:rsidRDefault="00CF7C8A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 xml:space="preserve">Thermoleophilia. </w:t>
      </w:r>
      <w:r w:rsidR="00E21E43">
        <w:rPr>
          <w:rFonts w:ascii="Arial" w:hAnsi="Arial" w:cs="Arial"/>
          <w:i/>
          <w:iCs/>
          <w:sz w:val="22"/>
          <w:szCs w:val="22"/>
        </w:rPr>
        <w:t>Undergraduate Mentee.</w:t>
      </w:r>
      <w:r w:rsidR="00E21E43" w:rsidRPr="00E21E43">
        <w:rPr>
          <w:rFonts w:ascii="Arial" w:hAnsi="Arial" w:cs="Arial"/>
          <w:i/>
          <w:iCs/>
          <w:sz w:val="22"/>
          <w:szCs w:val="22"/>
        </w:rPr>
        <w:t xml:space="preserve"> </w:t>
      </w:r>
      <w:r w:rsidRPr="00E21E43">
        <w:rPr>
          <w:rFonts w:ascii="Arial" w:hAnsi="Arial" w:cs="Arial"/>
          <w:i/>
          <w:iCs/>
          <w:sz w:val="22"/>
          <w:szCs w:val="22"/>
        </w:rPr>
        <w:t>Fa</w:t>
      </w:r>
      <w:r w:rsidR="00C171FB">
        <w:rPr>
          <w:rFonts w:ascii="Arial" w:hAnsi="Arial" w:cs="Arial"/>
          <w:i/>
          <w:iCs/>
          <w:sz w:val="22"/>
          <w:szCs w:val="22"/>
        </w:rPr>
        <w:t xml:space="preserve"> 2020</w:t>
      </w:r>
      <w:r w:rsidR="00E21E43">
        <w:rPr>
          <w:rFonts w:ascii="Arial" w:hAnsi="Arial" w:cs="Arial"/>
          <w:i/>
          <w:iCs/>
          <w:sz w:val="22"/>
          <w:szCs w:val="22"/>
        </w:rPr>
        <w:t>.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A160C0" w:rsidRDefault="006B222D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 w:rsidR="00A160C0"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CA3C8B" w:rsidRPr="00CA3C8B" w:rsidRDefault="00CA3C8B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1104A4" w:rsidRPr="00A160C0" w:rsidRDefault="001104A4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A160C0" w:rsidRPr="00A160C0" w:rsidRDefault="00A160C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</w:t>
      </w:r>
      <w:r w:rsidR="001B5438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proofErr w:type="spellStart"/>
      <w:r w:rsidR="001B5438"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 w:rsidR="001B5438">
        <w:rPr>
          <w:rFonts w:ascii="Arial" w:hAnsi="Arial" w:cs="Arial"/>
          <w:b/>
          <w:bCs/>
          <w:i/>
          <w:sz w:val="22"/>
          <w:szCs w:val="22"/>
        </w:rPr>
        <w:t xml:space="preserve"> (1),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Env Micro (1)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7BD9" w:rsidRDefault="00BD7BD9" w:rsidP="008C304E">
      <w:r>
        <w:separator/>
      </w:r>
    </w:p>
  </w:endnote>
  <w:endnote w:type="continuationSeparator" w:id="0">
    <w:p w:rsidR="00BD7BD9" w:rsidRDefault="00BD7BD9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7BD9" w:rsidRDefault="00BD7BD9" w:rsidP="008C304E">
      <w:r>
        <w:separator/>
      </w:r>
    </w:p>
  </w:footnote>
  <w:footnote w:type="continuationSeparator" w:id="0">
    <w:p w:rsidR="00BD7BD9" w:rsidRDefault="00BD7BD9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028E5"/>
    <w:rsid w:val="00106F7A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755C9"/>
    <w:rsid w:val="002766AE"/>
    <w:rsid w:val="002961BF"/>
    <w:rsid w:val="002A3202"/>
    <w:rsid w:val="002A6915"/>
    <w:rsid w:val="002B1291"/>
    <w:rsid w:val="002C75B8"/>
    <w:rsid w:val="002D5F98"/>
    <w:rsid w:val="002D7379"/>
    <w:rsid w:val="002F6630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009A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23712"/>
    <w:rsid w:val="00553816"/>
    <w:rsid w:val="0055414B"/>
    <w:rsid w:val="005710F5"/>
    <w:rsid w:val="005748F8"/>
    <w:rsid w:val="00584758"/>
    <w:rsid w:val="00592970"/>
    <w:rsid w:val="005A7D58"/>
    <w:rsid w:val="005C219B"/>
    <w:rsid w:val="005C3D25"/>
    <w:rsid w:val="005D5558"/>
    <w:rsid w:val="005E1BC3"/>
    <w:rsid w:val="005E2FDF"/>
    <w:rsid w:val="005E79D1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40283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D07B4"/>
    <w:rsid w:val="006E4C91"/>
    <w:rsid w:val="006E7AC6"/>
    <w:rsid w:val="00716A6B"/>
    <w:rsid w:val="007244A2"/>
    <w:rsid w:val="00724A49"/>
    <w:rsid w:val="00725D86"/>
    <w:rsid w:val="0075574D"/>
    <w:rsid w:val="007627C1"/>
    <w:rsid w:val="007B5BF5"/>
    <w:rsid w:val="007C1872"/>
    <w:rsid w:val="007C2F2F"/>
    <w:rsid w:val="007C40AC"/>
    <w:rsid w:val="007C55E6"/>
    <w:rsid w:val="007D5026"/>
    <w:rsid w:val="007E2F42"/>
    <w:rsid w:val="007E49A5"/>
    <w:rsid w:val="008250ED"/>
    <w:rsid w:val="0083349F"/>
    <w:rsid w:val="00851DF3"/>
    <w:rsid w:val="0085339F"/>
    <w:rsid w:val="0086323B"/>
    <w:rsid w:val="008A003B"/>
    <w:rsid w:val="008A0EB6"/>
    <w:rsid w:val="008C304E"/>
    <w:rsid w:val="008C33B9"/>
    <w:rsid w:val="008D1D44"/>
    <w:rsid w:val="008D2EBA"/>
    <w:rsid w:val="008D323A"/>
    <w:rsid w:val="008E4179"/>
    <w:rsid w:val="0091140E"/>
    <w:rsid w:val="00923539"/>
    <w:rsid w:val="00926775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9F3BCE"/>
    <w:rsid w:val="00A02FE3"/>
    <w:rsid w:val="00A1043C"/>
    <w:rsid w:val="00A160C0"/>
    <w:rsid w:val="00A228EA"/>
    <w:rsid w:val="00A30FE2"/>
    <w:rsid w:val="00A40E9D"/>
    <w:rsid w:val="00A4740B"/>
    <w:rsid w:val="00A53CC6"/>
    <w:rsid w:val="00A63AF1"/>
    <w:rsid w:val="00A73A25"/>
    <w:rsid w:val="00A84798"/>
    <w:rsid w:val="00AA097B"/>
    <w:rsid w:val="00AA4AC0"/>
    <w:rsid w:val="00AC1BAC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161B"/>
    <w:rsid w:val="00BC5E19"/>
    <w:rsid w:val="00BD2F18"/>
    <w:rsid w:val="00BD7BD9"/>
    <w:rsid w:val="00C00C5F"/>
    <w:rsid w:val="00C171FB"/>
    <w:rsid w:val="00C25CDC"/>
    <w:rsid w:val="00C518D0"/>
    <w:rsid w:val="00C52773"/>
    <w:rsid w:val="00C52B69"/>
    <w:rsid w:val="00C6214E"/>
    <w:rsid w:val="00C655B4"/>
    <w:rsid w:val="00C730CD"/>
    <w:rsid w:val="00C74DB7"/>
    <w:rsid w:val="00C75836"/>
    <w:rsid w:val="00C843C9"/>
    <w:rsid w:val="00C86C1A"/>
    <w:rsid w:val="00C92FA8"/>
    <w:rsid w:val="00CA2708"/>
    <w:rsid w:val="00CA3C8B"/>
    <w:rsid w:val="00CB0F14"/>
    <w:rsid w:val="00CB3965"/>
    <w:rsid w:val="00CB6D8C"/>
    <w:rsid w:val="00CD39B9"/>
    <w:rsid w:val="00CD5A36"/>
    <w:rsid w:val="00CF47AB"/>
    <w:rsid w:val="00CF7C8A"/>
    <w:rsid w:val="00D20210"/>
    <w:rsid w:val="00D240F7"/>
    <w:rsid w:val="00D3114A"/>
    <w:rsid w:val="00D5395A"/>
    <w:rsid w:val="00D723C5"/>
    <w:rsid w:val="00DB3B31"/>
    <w:rsid w:val="00DD06DD"/>
    <w:rsid w:val="00DD27A6"/>
    <w:rsid w:val="00DE0C07"/>
    <w:rsid w:val="00DE7EB9"/>
    <w:rsid w:val="00E060CD"/>
    <w:rsid w:val="00E21E43"/>
    <w:rsid w:val="00E30A01"/>
    <w:rsid w:val="00E52FEB"/>
    <w:rsid w:val="00E63892"/>
    <w:rsid w:val="00E826E5"/>
    <w:rsid w:val="00EA7C1F"/>
    <w:rsid w:val="00EC1343"/>
    <w:rsid w:val="00EC4C32"/>
    <w:rsid w:val="00EC4EB6"/>
    <w:rsid w:val="00ED421D"/>
    <w:rsid w:val="00EF0F98"/>
    <w:rsid w:val="00EF4E69"/>
    <w:rsid w:val="00F05DC1"/>
    <w:rsid w:val="00F2381B"/>
    <w:rsid w:val="00F65772"/>
    <w:rsid w:val="00F67336"/>
    <w:rsid w:val="00FD0C34"/>
    <w:rsid w:val="00FD2070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D54A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26</cp:revision>
  <cp:lastPrinted>2020-08-18T22:07:00Z</cp:lastPrinted>
  <dcterms:created xsi:type="dcterms:W3CDTF">2020-08-18T22:07:00Z</dcterms:created>
  <dcterms:modified xsi:type="dcterms:W3CDTF">2021-01-21T20:04:00Z</dcterms:modified>
</cp:coreProperties>
</file>