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D7577" w14:textId="77777777" w:rsidR="00734F2E" w:rsidRPr="00EB675F" w:rsidRDefault="00734F2E" w:rsidP="00C93564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694D6C73" w14:textId="77777777" w:rsidR="00734F2E" w:rsidRPr="00EB675F" w:rsidRDefault="00734F2E" w:rsidP="00C93564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59D5081E" w14:textId="77777777" w:rsidR="00734F2E" w:rsidRPr="00EB675F" w:rsidRDefault="00734F2E" w:rsidP="00C93564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B695C0E" w14:textId="77777777" w:rsidR="00734F2E" w:rsidRPr="00EB675F" w:rsidRDefault="00734F2E" w:rsidP="0078487C">
      <w:pPr>
        <w:spacing w:after="360" w:line="480" w:lineRule="auto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E7CB774" w14:textId="487A79CF" w:rsidR="00C93564" w:rsidRPr="00EB675F" w:rsidRDefault="00C93564" w:rsidP="0078487C">
      <w:pPr>
        <w:spacing w:after="360" w:line="480" w:lineRule="auto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GDPR Compliance</w:t>
      </w:r>
      <w:r w:rsidR="00265446"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for </w:t>
      </w:r>
      <w:proofErr w:type="spellStart"/>
      <w:r w:rsidR="00265446"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Mesusa</w:t>
      </w:r>
      <w:proofErr w:type="spellEnd"/>
      <w:r w:rsidR="00265446"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Corporation (</w:t>
      </w:r>
      <w:proofErr w:type="spellStart"/>
      <w:r w:rsidR="00265446"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MeCo</w:t>
      </w:r>
      <w:proofErr w:type="spellEnd"/>
      <w:r w:rsidR="00265446"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)</w:t>
      </w:r>
    </w:p>
    <w:p w14:paraId="4AD63445" w14:textId="77777777" w:rsidR="00734F2E" w:rsidRPr="00EB675F" w:rsidRDefault="00734F2E" w:rsidP="0078487C">
      <w:pPr>
        <w:spacing w:line="480" w:lineRule="auto"/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4EA69FE" w14:textId="1279A8E6" w:rsidR="00734F2E" w:rsidRPr="00EB675F" w:rsidRDefault="00734F2E" w:rsidP="0078487C">
      <w:pPr>
        <w:spacing w:line="480" w:lineRule="auto"/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Liz Hinz</w:t>
      </w:r>
    </w:p>
    <w:p w14:paraId="297B04E9" w14:textId="34373896" w:rsidR="00734F2E" w:rsidRPr="00EB675F" w:rsidRDefault="00734F2E" w:rsidP="0078487C">
      <w:pPr>
        <w:spacing w:line="480" w:lineRule="auto"/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CSD370-A339: </w:t>
      </w:r>
      <w:r w:rsidR="00B40AAE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Secure Software Development</w:t>
      </w:r>
    </w:p>
    <w:p w14:paraId="3E260C90" w14:textId="22C27134" w:rsidR="00B40AAE" w:rsidRPr="00EB675F" w:rsidRDefault="00B40AAE" w:rsidP="0078487C">
      <w:pPr>
        <w:spacing w:line="480" w:lineRule="auto"/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Professor Nathan Braun</w:t>
      </w:r>
    </w:p>
    <w:p w14:paraId="25DF29B9" w14:textId="388DAB7B" w:rsidR="00B40AAE" w:rsidRPr="00EB675F" w:rsidRDefault="00B40AAE" w:rsidP="0078487C">
      <w:pPr>
        <w:spacing w:line="480" w:lineRule="auto"/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March 30, 2025</w:t>
      </w:r>
    </w:p>
    <w:p w14:paraId="2C88DE49" w14:textId="77777777" w:rsidR="00B40AAE" w:rsidRPr="00EB675F" w:rsidRDefault="00B40AAE" w:rsidP="0078487C">
      <w:pPr>
        <w:spacing w:line="480" w:lineRule="auto"/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E8A9CF1" w14:textId="77777777" w:rsidR="00B40AAE" w:rsidRPr="00EB675F" w:rsidRDefault="00B40AAE" w:rsidP="0078487C">
      <w:pPr>
        <w:spacing w:line="480" w:lineRule="auto"/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37C116A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E23792A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78FDB53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024BFA4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0793BD0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CDA886F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EAEC895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5823FAE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1DB92C6" w14:textId="7777777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6E3FC87" w14:textId="77777777" w:rsidR="00B40AAE" w:rsidRPr="00EB675F" w:rsidRDefault="00B40AAE" w:rsidP="0078487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9523ADD" w14:textId="77777777" w:rsidR="0078487C" w:rsidRPr="00EB675F" w:rsidRDefault="0078487C" w:rsidP="0078487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D983E9B" w14:textId="77777777" w:rsidR="00BC51B7" w:rsidRDefault="00BC51B7" w:rsidP="0078487C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8C49AD5" w14:textId="77777777" w:rsidR="00BC51B7" w:rsidRDefault="00BC51B7" w:rsidP="0078487C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296781C" w14:textId="77777777" w:rsidR="00BC51B7" w:rsidRDefault="00BC51B7" w:rsidP="0078487C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2EA68FD" w14:textId="77777777" w:rsidR="00BC51B7" w:rsidRDefault="00BC51B7" w:rsidP="0078487C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461FA4B" w14:textId="118ABFBD" w:rsidR="00C93564" w:rsidRPr="00EB675F" w:rsidRDefault="00265446" w:rsidP="0078487C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>GDPR Compliance</w:t>
      </w:r>
      <w:r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for </w:t>
      </w:r>
      <w:proofErr w:type="spellStart"/>
      <w:r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Mesusa</w:t>
      </w:r>
      <w:proofErr w:type="spellEnd"/>
      <w:r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Corporation (</w:t>
      </w:r>
      <w:proofErr w:type="spellStart"/>
      <w:r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MeCo</w:t>
      </w:r>
      <w:proofErr w:type="spellEnd"/>
      <w:r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)</w:t>
      </w:r>
    </w:p>
    <w:p w14:paraId="0A275F7F" w14:textId="53FAC2EA" w:rsidR="00954ED9" w:rsidRDefault="0078487C" w:rsidP="00D229B7">
      <w:pPr>
        <w:spacing w:line="480" w:lineRule="auto"/>
        <w:ind w:firstLine="288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Security and data protection </w:t>
      </w:r>
      <w:r w:rsidR="00682CF9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are</w:t>
      </w: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desired </w:t>
      </w:r>
      <w:r w:rsidR="00682CF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and prioritized </w:t>
      </w: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by </w:t>
      </w:r>
      <w:r w:rsidR="00682CF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significant </w:t>
      </w:r>
      <w:proofErr w:type="gramStart"/>
      <w:r w:rsidR="00682CF9">
        <w:rPr>
          <w:rFonts w:ascii="Arial" w:eastAsia="Times New Roman" w:hAnsi="Arial" w:cs="Arial"/>
          <w:color w:val="000000" w:themeColor="text1"/>
          <w:kern w:val="0"/>
          <w14:ligatures w14:val="none"/>
        </w:rPr>
        <w:t>amount</w:t>
      </w:r>
      <w:proofErr w:type="gramEnd"/>
      <w:r w:rsidR="00682CF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of users</w:t>
      </w: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E20B6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When expanding business outside of the United States and into locations such as Brazil and the UK, regulations set in these areas must be considered when conducting business. </w:t>
      </w:r>
      <w:r w:rsidR="00682CF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Based on past experiences, the EU </w:t>
      </w:r>
      <w:r w:rsidR="00DD770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set legal guidelines </w:t>
      </w:r>
      <w:r w:rsidR="00682CF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to secure </w:t>
      </w:r>
      <w:r w:rsidR="0004125C">
        <w:rPr>
          <w:rFonts w:ascii="Arial" w:eastAsia="Times New Roman" w:hAnsi="Arial" w:cs="Arial"/>
          <w:color w:val="000000" w:themeColor="text1"/>
          <w:kern w:val="0"/>
          <w14:ligatures w14:val="none"/>
        </w:rPr>
        <w:t>users'</w:t>
      </w:r>
      <w:r w:rsidR="00E20B6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682CF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information. </w:t>
      </w:r>
      <w:r w:rsidR="005D6D1E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GDPR, also known as the General Data Protection Regulation</w:t>
      </w:r>
      <w:r w:rsidR="005D6D1E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="005D6D1E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5D6D1E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is a vital piece of regulation</w:t>
      </w: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It protects </w:t>
      </w:r>
      <w:r w:rsidR="00682CF9">
        <w:rPr>
          <w:rFonts w:ascii="Arial" w:eastAsia="Times New Roman" w:hAnsi="Arial" w:cs="Arial"/>
          <w:color w:val="000000" w:themeColor="text1"/>
          <w:kern w:val="0"/>
          <w14:ligatures w14:val="none"/>
        </w:rPr>
        <w:t>people's</w:t>
      </w: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information in the EU through set requirements. </w:t>
      </w:r>
      <w:r w:rsidR="00023EEA">
        <w:rPr>
          <w:rFonts w:ascii="Arial" w:eastAsia="Times New Roman" w:hAnsi="Arial" w:cs="Arial"/>
          <w:color w:val="000000" w:themeColor="text1"/>
          <w:kern w:val="0"/>
          <w14:ligatures w14:val="none"/>
        </w:rPr>
        <w:t>By understanding the different aspects of G</w:t>
      </w:r>
      <w:r w:rsidR="00035332">
        <w:rPr>
          <w:rFonts w:ascii="Arial" w:eastAsia="Times New Roman" w:hAnsi="Arial" w:cs="Arial"/>
          <w:color w:val="000000" w:themeColor="text1"/>
          <w:kern w:val="0"/>
          <w14:ligatures w14:val="none"/>
        </w:rPr>
        <w:t>DP</w:t>
      </w:r>
      <w:r w:rsidR="00023EE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R and its origins, </w:t>
      </w:r>
      <w:r w:rsidR="0066345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strong </w:t>
      </w:r>
      <w:r w:rsidR="00562A4B">
        <w:rPr>
          <w:rFonts w:ascii="Arial" w:eastAsia="Times New Roman" w:hAnsi="Arial" w:cs="Arial"/>
          <w:color w:val="000000" w:themeColor="text1"/>
          <w:kern w:val="0"/>
          <w14:ligatures w14:val="none"/>
        </w:rPr>
        <w:t>foundation</w:t>
      </w:r>
      <w:r w:rsidR="0066345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crafted for these new branches. </w:t>
      </w:r>
    </w:p>
    <w:p w14:paraId="0B6DB030" w14:textId="09FBE8FC" w:rsidR="006E57A5" w:rsidRPr="00EB675F" w:rsidRDefault="00954ED9" w:rsidP="00663451">
      <w:pPr>
        <w:spacing w:line="480" w:lineRule="auto"/>
        <w:ind w:firstLine="288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All EU data must comply with the </w:t>
      </w:r>
      <w:r w:rsidR="00663451">
        <w:rPr>
          <w:rFonts w:ascii="Arial" w:eastAsia="Times New Roman" w:hAnsi="Arial" w:cs="Arial"/>
          <w:color w:val="000000" w:themeColor="text1"/>
          <w:kern w:val="0"/>
          <w14:ligatures w14:val="none"/>
        </w:rPr>
        <w:t>General Data Protection Regulation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5D6D1E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After security breaches of sensitive information invoked by Snowden</w:t>
      </w:r>
      <w:r w:rsidR="0066345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and the invalidation of the Safe Harbor provisions due to lesser protections</w:t>
      </w:r>
      <w:r w:rsidR="005D6D1E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GDPR ensures that data is shared safely between online trades of differing countries </w:t>
      </w:r>
      <w:r w:rsidR="005D6D1E" w:rsidRPr="00EB675F">
        <w:rPr>
          <w:rFonts w:ascii="Arial" w:hAnsi="Arial" w:cs="Arial"/>
          <w:color w:val="000000" w:themeColor="text1"/>
        </w:rPr>
        <w:t>(Conklin &amp; Shoemaker, 2022</w:t>
      </w:r>
      <w:r w:rsidR="00855CE0">
        <w:rPr>
          <w:rFonts w:ascii="Arial" w:hAnsi="Arial" w:cs="Arial"/>
          <w:color w:val="000000" w:themeColor="text1"/>
        </w:rPr>
        <w:t>, p. 221</w:t>
      </w:r>
      <w:r w:rsidR="005D6D1E" w:rsidRPr="00EB675F">
        <w:rPr>
          <w:rFonts w:ascii="Arial" w:hAnsi="Arial" w:cs="Arial"/>
          <w:color w:val="000000" w:themeColor="text1"/>
        </w:rPr>
        <w:t>)</w:t>
      </w:r>
      <w:r w:rsidR="005D6D1E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61DEDC4A" w14:textId="27E800CE" w:rsidR="005D6D1E" w:rsidRPr="00EB675F" w:rsidRDefault="005D6D1E" w:rsidP="0004125C">
      <w:pPr>
        <w:spacing w:line="480" w:lineRule="auto"/>
        <w:ind w:firstLine="288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Above all else, the General Data Protection Regulation focuses on data protection and privacy </w:t>
      </w:r>
      <w:r w:rsidRPr="00EB675F">
        <w:rPr>
          <w:rFonts w:ascii="Arial" w:hAnsi="Arial" w:cs="Arial"/>
          <w:color w:val="000000" w:themeColor="text1"/>
        </w:rPr>
        <w:t>(Conklin &amp; Shoemaker, 2022</w:t>
      </w:r>
      <w:r w:rsidR="00855CE0">
        <w:rPr>
          <w:rFonts w:ascii="Arial" w:hAnsi="Arial" w:cs="Arial"/>
          <w:color w:val="000000" w:themeColor="text1"/>
        </w:rPr>
        <w:t>, p. 221-226</w:t>
      </w:r>
      <w:r w:rsidRPr="00EB675F">
        <w:rPr>
          <w:rFonts w:ascii="Arial" w:hAnsi="Arial" w:cs="Arial"/>
          <w:color w:val="000000" w:themeColor="text1"/>
        </w:rPr>
        <w:t>)</w:t>
      </w: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855CE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One of the requirements of GDPR is an appointed data protection officer </w:t>
      </w:r>
      <w:r w:rsidR="00855CE0" w:rsidRPr="00EB675F">
        <w:rPr>
          <w:rFonts w:ascii="Arial" w:hAnsi="Arial" w:cs="Arial"/>
          <w:color w:val="000000" w:themeColor="text1"/>
        </w:rPr>
        <w:t>(Conklin &amp; Shoemaker, 2022</w:t>
      </w:r>
      <w:r w:rsidR="00855CE0">
        <w:rPr>
          <w:rFonts w:ascii="Arial" w:hAnsi="Arial" w:cs="Arial"/>
          <w:color w:val="000000" w:themeColor="text1"/>
        </w:rPr>
        <w:t>, p</w:t>
      </w:r>
      <w:r w:rsidR="0004125C">
        <w:rPr>
          <w:rFonts w:ascii="Arial" w:hAnsi="Arial" w:cs="Arial"/>
          <w:color w:val="000000" w:themeColor="text1"/>
        </w:rPr>
        <w:t>.</w:t>
      </w:r>
      <w:r w:rsidR="00855CE0">
        <w:rPr>
          <w:rFonts w:ascii="Arial" w:hAnsi="Arial" w:cs="Arial"/>
          <w:color w:val="000000" w:themeColor="text1"/>
        </w:rPr>
        <w:t xml:space="preserve"> 222</w:t>
      </w:r>
      <w:r w:rsidR="00855CE0" w:rsidRPr="00EB675F">
        <w:rPr>
          <w:rFonts w:ascii="Arial" w:hAnsi="Arial" w:cs="Arial"/>
          <w:color w:val="000000" w:themeColor="text1"/>
        </w:rPr>
        <w:t>)</w:t>
      </w:r>
      <w:r w:rsidR="00855CE0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 w:rsidR="00855CE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04125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Overall, individuals are given the “Right to Information, Right to Access, Right to Rectification, Right to Restrict Processing, Right to Object, Right to Erasure, and Right to Data Portability” </w:t>
      </w:r>
      <w:r w:rsidR="0004125C" w:rsidRPr="00EB675F">
        <w:rPr>
          <w:rFonts w:ascii="Arial" w:hAnsi="Arial" w:cs="Arial"/>
          <w:color w:val="000000" w:themeColor="text1"/>
        </w:rPr>
        <w:t>(Conklin &amp; Shoemaker, 2022</w:t>
      </w:r>
      <w:r w:rsidR="0004125C">
        <w:rPr>
          <w:rFonts w:ascii="Arial" w:hAnsi="Arial" w:cs="Arial"/>
          <w:color w:val="000000" w:themeColor="text1"/>
        </w:rPr>
        <w:t>, p. 22</w:t>
      </w:r>
      <w:r w:rsidR="0004125C">
        <w:rPr>
          <w:rFonts w:ascii="Arial" w:hAnsi="Arial" w:cs="Arial"/>
          <w:color w:val="000000" w:themeColor="text1"/>
        </w:rPr>
        <w:t>4</w:t>
      </w:r>
      <w:r w:rsidR="0004125C" w:rsidRPr="00EB675F">
        <w:rPr>
          <w:rFonts w:ascii="Arial" w:hAnsi="Arial" w:cs="Arial"/>
          <w:color w:val="000000" w:themeColor="text1"/>
        </w:rPr>
        <w:t>)</w:t>
      </w:r>
      <w:r w:rsidR="0004125C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 w:rsidR="0004125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DD770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Further, safeguards such as binding corporate rules, module contract clauses, and legally binding documents” must all be </w:t>
      </w:r>
      <w:r w:rsidR="009F6253">
        <w:rPr>
          <w:rFonts w:ascii="Arial" w:eastAsia="Times New Roman" w:hAnsi="Arial" w:cs="Arial"/>
          <w:color w:val="000000" w:themeColor="text1"/>
          <w:kern w:val="0"/>
          <w14:ligatures w14:val="none"/>
        </w:rPr>
        <w:t>considered</w:t>
      </w:r>
      <w:r w:rsidR="00DD770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to maintain the proper protections for international data transfer</w:t>
      </w:r>
      <w:r w:rsidR="005742A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DD7703" w:rsidRPr="00EB675F">
        <w:rPr>
          <w:rFonts w:ascii="Arial" w:hAnsi="Arial" w:cs="Arial"/>
          <w:color w:val="000000" w:themeColor="text1"/>
        </w:rPr>
        <w:t>(Conklin &amp; Shoemaker, 2022</w:t>
      </w:r>
      <w:r w:rsidR="00DD7703">
        <w:rPr>
          <w:rFonts w:ascii="Arial" w:hAnsi="Arial" w:cs="Arial"/>
          <w:color w:val="000000" w:themeColor="text1"/>
        </w:rPr>
        <w:t>, p. 22</w:t>
      </w:r>
      <w:r w:rsidR="00DD7703">
        <w:rPr>
          <w:rFonts w:ascii="Arial" w:hAnsi="Arial" w:cs="Arial"/>
          <w:color w:val="000000" w:themeColor="text1"/>
        </w:rPr>
        <w:t>4</w:t>
      </w:r>
      <w:r w:rsidR="00DD7703" w:rsidRPr="00EB675F">
        <w:rPr>
          <w:rFonts w:ascii="Arial" w:hAnsi="Arial" w:cs="Arial"/>
          <w:color w:val="000000" w:themeColor="text1"/>
        </w:rPr>
        <w:t>)</w:t>
      </w:r>
      <w:r w:rsidR="00DD7703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 w:rsidR="00DD770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</w:p>
    <w:p w14:paraId="25588F35" w14:textId="55345545" w:rsidR="00012A57" w:rsidRDefault="005D6D1E" w:rsidP="00012A57">
      <w:pPr>
        <w:spacing w:line="480" w:lineRule="auto"/>
        <w:ind w:firstLine="288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Enclosed is a checklist for GDPR practices </w:t>
      </w:r>
      <w:r w:rsidR="005742A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from GDPR (2019) website </w:t>
      </w:r>
      <w:r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>that helps to ensure all software is compliant</w:t>
      </w:r>
      <w:r w:rsidR="005742A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: </w:t>
      </w:r>
    </w:p>
    <w:p w14:paraId="452B183D" w14:textId="77777777" w:rsidR="00DE0954" w:rsidRDefault="00DE0954" w:rsidP="00DE0954">
      <w:pPr>
        <w:spacing w:line="480" w:lineRule="auto"/>
        <w:ind w:firstLine="288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“</w:t>
      </w:r>
      <w:r w:rsidR="00012A5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Lawful Basis &amp; Transparency </w:t>
      </w:r>
    </w:p>
    <w:p w14:paraId="35572D20" w14:textId="35457876" w:rsidR="00012A57" w:rsidRPr="00DE0954" w:rsidRDefault="00012A57" w:rsidP="00DE0954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E095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Conduct an information audit to determine what information you process and who has access to it. </w:t>
      </w:r>
    </w:p>
    <w:p w14:paraId="38AD7B98" w14:textId="6046278E" w:rsidR="00012A57" w:rsidRDefault="00012A57" w:rsidP="00012A57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Have a legal justification for your data processing activities.</w:t>
      </w:r>
    </w:p>
    <w:p w14:paraId="29AC7268" w14:textId="77777777" w:rsidR="00DE0954" w:rsidRDefault="00012A57" w:rsidP="00DE0954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Provide clear information about your data processing and legal justification in your privacy policy. </w:t>
      </w:r>
    </w:p>
    <w:p w14:paraId="41A7FF30" w14:textId="4B196E62" w:rsidR="00012A57" w:rsidRPr="00DE0954" w:rsidRDefault="00012A57" w:rsidP="00DE0954">
      <w:pPr>
        <w:spacing w:line="480" w:lineRule="auto"/>
        <w:ind w:firstLine="288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E0954">
        <w:rPr>
          <w:rFonts w:ascii="Arial" w:eastAsia="Times New Roman" w:hAnsi="Arial" w:cs="Arial"/>
          <w:color w:val="000000" w:themeColor="text1"/>
          <w:kern w:val="0"/>
          <w14:ligatures w14:val="none"/>
        </w:rPr>
        <w:t>Data Security</w:t>
      </w:r>
    </w:p>
    <w:p w14:paraId="771E0C55" w14:textId="0907688C" w:rsidR="00012A57" w:rsidRDefault="00012A57" w:rsidP="00012A57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Take data protection into account at all times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from the moment you begin developing a product to each time you process data. </w:t>
      </w:r>
    </w:p>
    <w:p w14:paraId="1C0D7B10" w14:textId="5005E85A" w:rsidR="00012A57" w:rsidRDefault="00012A57" w:rsidP="00012A57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Encrypt, pseudonymize, or anonymize personal data wherever possible. </w:t>
      </w:r>
    </w:p>
    <w:p w14:paraId="3DC0CFED" w14:textId="0AA63AB6" w:rsidR="00012A57" w:rsidRDefault="00012A57" w:rsidP="00012A57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Create an internal security policy for your team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members, and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build awareness about data protection.</w:t>
      </w:r>
    </w:p>
    <w:p w14:paraId="43A3F000" w14:textId="3DAA0011" w:rsidR="00012A57" w:rsidRDefault="00012A57" w:rsidP="00012A57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Knows when to conduct a data protection impact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assessment, and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have a process in place to carry it out. </w:t>
      </w:r>
    </w:p>
    <w:p w14:paraId="26F52996" w14:textId="362CD1BF" w:rsidR="00012A57" w:rsidRDefault="00012A57" w:rsidP="00012A57">
      <w:pPr>
        <w:pStyle w:val="ListParagraph"/>
        <w:numPr>
          <w:ilvl w:val="0"/>
          <w:numId w:val="3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Have a process in place to notify the authorities and your data subjects in the event of a data breach. </w:t>
      </w:r>
    </w:p>
    <w:p w14:paraId="2E0442FB" w14:textId="05019D7B" w:rsidR="00012A57" w:rsidRDefault="00012A57" w:rsidP="00012A57">
      <w:p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Accountability &amp; Governance </w:t>
      </w:r>
    </w:p>
    <w:p w14:paraId="58815FB6" w14:textId="372CF5FE" w:rsidR="00012A57" w:rsidRDefault="00012A57" w:rsidP="00012A57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Designate someone responsible for ensuring GDPR compliance across your organization. </w:t>
      </w:r>
    </w:p>
    <w:p w14:paraId="55F011F2" w14:textId="2F0F8E19" w:rsidR="00012A57" w:rsidRDefault="00012A57" w:rsidP="00012A57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Sign a data processing agreement between your organization and any third parties that process personal data on your behalf. </w:t>
      </w:r>
    </w:p>
    <w:p w14:paraId="482461C9" w14:textId="3D664086" w:rsidR="00012A57" w:rsidRDefault="00012A57" w:rsidP="00012A57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If your organization is outside the EU, appoint a representative within one of the EU member states. </w:t>
      </w:r>
    </w:p>
    <w:p w14:paraId="29AFF21B" w14:textId="2ED3E323" w:rsidR="00012A57" w:rsidRDefault="00012A57" w:rsidP="00012A57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Appoint a Data Protection Officer (if necessary)</w:t>
      </w:r>
    </w:p>
    <w:p w14:paraId="2F1F58EF" w14:textId="3EFDD804" w:rsidR="00012A57" w:rsidRDefault="00012A57" w:rsidP="00012A57">
      <w:p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Privacy Rights</w:t>
      </w:r>
    </w:p>
    <w:p w14:paraId="0ADBBC56" w14:textId="394ED635" w:rsidR="00012A57" w:rsidRDefault="00012A57" w:rsidP="00012A57">
      <w:pPr>
        <w:pStyle w:val="ListParagraph"/>
        <w:numPr>
          <w:ilvl w:val="0"/>
          <w:numId w:val="5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It’s easy for your customers to request and receive all the information you have about them. </w:t>
      </w:r>
    </w:p>
    <w:p w14:paraId="61E6CEF2" w14:textId="0111B23B" w:rsidR="00012A57" w:rsidRDefault="00012A57" w:rsidP="00012A57">
      <w:pPr>
        <w:pStyle w:val="ListParagraph"/>
        <w:numPr>
          <w:ilvl w:val="0"/>
          <w:numId w:val="5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It’s easy for your customers to correct or update inaccurate or incomplete information.</w:t>
      </w:r>
    </w:p>
    <w:p w14:paraId="5A23DC70" w14:textId="22C9B23D" w:rsidR="00012A57" w:rsidRDefault="00012A57" w:rsidP="00012A57">
      <w:pPr>
        <w:pStyle w:val="ListParagraph"/>
        <w:numPr>
          <w:ilvl w:val="0"/>
          <w:numId w:val="5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It’s easy for your customers to request to have their personal data deleted.</w:t>
      </w:r>
    </w:p>
    <w:p w14:paraId="379132B5" w14:textId="3B42B74F" w:rsidR="00012A57" w:rsidRDefault="00012A57" w:rsidP="00012A57">
      <w:pPr>
        <w:pStyle w:val="ListParagraph"/>
        <w:numPr>
          <w:ilvl w:val="0"/>
          <w:numId w:val="5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It’s easy for your customers to ask you to stop processing their data</w:t>
      </w:r>
    </w:p>
    <w:p w14:paraId="6F2639C2" w14:textId="2E9298CA" w:rsidR="00012A57" w:rsidRDefault="00012A57" w:rsidP="00012A57">
      <w:pPr>
        <w:pStyle w:val="ListParagraph"/>
        <w:numPr>
          <w:ilvl w:val="0"/>
          <w:numId w:val="5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It’s easy for your customers to receive a copy of their personal data in a format that can be easily transferred to another company. </w:t>
      </w:r>
    </w:p>
    <w:p w14:paraId="0F442A14" w14:textId="622B2A5F" w:rsidR="00012A57" w:rsidRDefault="00012A57" w:rsidP="00012A57">
      <w:pPr>
        <w:pStyle w:val="ListParagraph"/>
        <w:numPr>
          <w:ilvl w:val="0"/>
          <w:numId w:val="5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It’s easy for your customers to object to you processing their data.</w:t>
      </w:r>
    </w:p>
    <w:p w14:paraId="6B15A51F" w14:textId="5EAE064B" w:rsidR="00012A57" w:rsidRPr="00012A57" w:rsidRDefault="00012A57" w:rsidP="00012A57">
      <w:pPr>
        <w:pStyle w:val="ListParagraph"/>
        <w:numPr>
          <w:ilvl w:val="0"/>
          <w:numId w:val="5"/>
        </w:numPr>
        <w:spacing w:line="48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If you make decisions about people based on automated processes, you have a procedure to protect their rights.</w:t>
      </w:r>
      <w:r w:rsidR="005742AF">
        <w:rPr>
          <w:rFonts w:ascii="Arial" w:eastAsia="Times New Roman" w:hAnsi="Arial" w:cs="Arial"/>
          <w:color w:val="000000" w:themeColor="text1"/>
          <w:kern w:val="0"/>
          <w14:ligatures w14:val="none"/>
        </w:rPr>
        <w:t>”</w:t>
      </w:r>
    </w:p>
    <w:p w14:paraId="57762F4E" w14:textId="21793240" w:rsidR="00023EEA" w:rsidRDefault="004C72A2" w:rsidP="00C33B6E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023EEA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When expanding the offices to include Brazil and the UK, </w:t>
      </w:r>
      <w:r w:rsidR="00023EEA">
        <w:rPr>
          <w:rFonts w:ascii="Arial" w:eastAsia="Times New Roman" w:hAnsi="Arial" w:cs="Arial"/>
          <w:color w:val="000000" w:themeColor="text1"/>
          <w:kern w:val="0"/>
          <w14:ligatures w14:val="none"/>
        </w:rPr>
        <w:t>GDPR guidelines must b</w:t>
      </w:r>
      <w:r w:rsidR="00023EEA" w:rsidRPr="00EB675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e considered to guarantee compliance.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This information will aid when </w:t>
      </w:r>
      <w:r w:rsidR="00C33B6E">
        <w:rPr>
          <w:rFonts w:ascii="Arial" w:eastAsia="Times New Roman" w:hAnsi="Arial" w:cs="Arial"/>
          <w:color w:val="000000" w:themeColor="text1"/>
          <w:kern w:val="0"/>
          <w14:ligatures w14:val="none"/>
        </w:rPr>
        <w:t>preparing to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expand into new territories. </w:t>
      </w:r>
      <w:r w:rsidR="00023EEA">
        <w:rPr>
          <w:rFonts w:ascii="Arial" w:eastAsia="Times New Roman" w:hAnsi="Arial" w:cs="Arial"/>
          <w:color w:val="000000" w:themeColor="text1"/>
          <w:kern w:val="0"/>
          <w14:ligatures w14:val="none"/>
        </w:rPr>
        <w:t>Reviewing</w:t>
      </w:r>
      <w:r w:rsidR="00C33B6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023EE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 w:rsidR="00C33B6E">
        <w:rPr>
          <w:rFonts w:ascii="Arial" w:eastAsia="Times New Roman" w:hAnsi="Arial" w:cs="Arial"/>
          <w:color w:val="000000" w:themeColor="text1"/>
          <w:kern w:val="0"/>
          <w14:ligatures w14:val="none"/>
        </w:rPr>
        <w:t>standards set in these areas to adhere to current business practices</w:t>
      </w:r>
      <w:r w:rsidR="00023EE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essential.</w:t>
      </w:r>
      <w:r w:rsidR="00C33B6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</w:p>
    <w:p w14:paraId="0E3A50BA" w14:textId="77777777" w:rsidR="00012A57" w:rsidRDefault="00012A57" w:rsidP="00C33B6E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95F36DD" w14:textId="77777777" w:rsidR="00DE0954" w:rsidRDefault="00DE0954" w:rsidP="00C33B6E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7B36188" w14:textId="77777777" w:rsidR="005742AF" w:rsidRDefault="005742AF" w:rsidP="00C33B6E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E4FA4E7" w14:textId="77777777" w:rsidR="009F6253" w:rsidRPr="00EB675F" w:rsidRDefault="009F6253" w:rsidP="00C33B6E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CA852A2" w14:textId="4BA81697" w:rsidR="00B40AAE" w:rsidRPr="00EB675F" w:rsidRDefault="00B40AAE" w:rsidP="00B40AAE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EB675F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>References</w:t>
      </w:r>
    </w:p>
    <w:p w14:paraId="336D10D6" w14:textId="77777777" w:rsidR="00B40AAE" w:rsidRPr="00EB675F" w:rsidRDefault="00B40AAE" w:rsidP="00C9356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46B8AF5" w14:textId="77777777" w:rsidR="00323F20" w:rsidRPr="00EB675F" w:rsidRDefault="00323F20" w:rsidP="00323F20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color w:val="000000" w:themeColor="text1"/>
        </w:rPr>
      </w:pPr>
      <w:r w:rsidRPr="00EB675F">
        <w:rPr>
          <w:rFonts w:ascii="Arial" w:hAnsi="Arial" w:cs="Arial"/>
          <w:color w:val="000000" w:themeColor="text1"/>
        </w:rPr>
        <w:t xml:space="preserve">Conklin, WM. A., &amp; Shoemaker, D. P. (2022). </w:t>
      </w:r>
      <w:r w:rsidRPr="00EB675F">
        <w:rPr>
          <w:rFonts w:ascii="Arial" w:hAnsi="Arial" w:cs="Arial"/>
          <w:i/>
          <w:iCs/>
          <w:color w:val="000000" w:themeColor="text1"/>
        </w:rPr>
        <w:t>CSSLP Certified Secure Software Lifecycle Professional: Exam Guide.</w:t>
      </w:r>
      <w:r w:rsidRPr="00EB675F">
        <w:rPr>
          <w:rFonts w:ascii="Arial" w:hAnsi="Arial" w:cs="Arial"/>
          <w:color w:val="000000" w:themeColor="text1"/>
        </w:rPr>
        <w:t xml:space="preserve"> McGraw-Hill Education.</w:t>
      </w:r>
    </w:p>
    <w:p w14:paraId="2D4864F8" w14:textId="1676CE55" w:rsidR="000F3B8A" w:rsidRPr="00EB675F" w:rsidRDefault="00EB675F" w:rsidP="00E706DF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color w:val="000000" w:themeColor="text1"/>
        </w:rPr>
      </w:pPr>
      <w:r w:rsidRPr="00EB675F">
        <w:rPr>
          <w:rFonts w:ascii="Arial" w:hAnsi="Arial" w:cs="Arial"/>
          <w:color w:val="000000" w:themeColor="text1"/>
        </w:rPr>
        <w:t xml:space="preserve">GDPR. (2019). </w:t>
      </w:r>
      <w:r w:rsidRPr="00EB675F">
        <w:rPr>
          <w:rFonts w:ascii="Arial" w:hAnsi="Arial" w:cs="Arial"/>
          <w:i/>
          <w:iCs/>
          <w:color w:val="000000" w:themeColor="text1"/>
        </w:rPr>
        <w:t>GDPR Checklist for Data Controllers</w:t>
      </w:r>
      <w:r w:rsidRPr="00EB675F">
        <w:rPr>
          <w:rFonts w:ascii="Arial" w:hAnsi="Arial" w:cs="Arial"/>
          <w:color w:val="000000" w:themeColor="text1"/>
        </w:rPr>
        <w:t xml:space="preserve">. GDPR.EU. </w:t>
      </w:r>
      <w:hyperlink r:id="rId5" w:history="1">
        <w:r w:rsidR="00663451" w:rsidRPr="00FF600D">
          <w:rPr>
            <w:rStyle w:val="Hyperlink"/>
            <w:rFonts w:ascii="Arial" w:hAnsi="Arial" w:cs="Arial"/>
          </w:rPr>
          <w:t>https://gdpr.eu/checklist/</w:t>
        </w:r>
      </w:hyperlink>
      <w:r w:rsidR="00663451">
        <w:rPr>
          <w:rFonts w:ascii="Arial" w:hAnsi="Arial" w:cs="Arial"/>
          <w:color w:val="000000" w:themeColor="text1"/>
        </w:rPr>
        <w:t xml:space="preserve"> </w:t>
      </w:r>
    </w:p>
    <w:sectPr w:rsidR="000F3B8A" w:rsidRPr="00EB675F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E55"/>
    <w:multiLevelType w:val="hybridMultilevel"/>
    <w:tmpl w:val="C660FF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80C97"/>
    <w:multiLevelType w:val="hybridMultilevel"/>
    <w:tmpl w:val="71A2F428"/>
    <w:lvl w:ilvl="0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2EC507F2"/>
    <w:multiLevelType w:val="multilevel"/>
    <w:tmpl w:val="E8F8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A5115"/>
    <w:multiLevelType w:val="hybridMultilevel"/>
    <w:tmpl w:val="36C44492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653C7B8D"/>
    <w:multiLevelType w:val="hybridMultilevel"/>
    <w:tmpl w:val="4EA43A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070155">
    <w:abstractNumId w:val="2"/>
  </w:num>
  <w:num w:numId="2" w16cid:durableId="1465544593">
    <w:abstractNumId w:val="3"/>
  </w:num>
  <w:num w:numId="3" w16cid:durableId="1783576670">
    <w:abstractNumId w:val="1"/>
  </w:num>
  <w:num w:numId="4" w16cid:durableId="447242829">
    <w:abstractNumId w:val="4"/>
  </w:num>
  <w:num w:numId="5" w16cid:durableId="34035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64"/>
    <w:rsid w:val="00012A57"/>
    <w:rsid w:val="00023EEA"/>
    <w:rsid w:val="00035332"/>
    <w:rsid w:val="0004125C"/>
    <w:rsid w:val="000F3B8A"/>
    <w:rsid w:val="00265446"/>
    <w:rsid w:val="00323F20"/>
    <w:rsid w:val="00393666"/>
    <w:rsid w:val="003E6F20"/>
    <w:rsid w:val="00405C71"/>
    <w:rsid w:val="004C72A2"/>
    <w:rsid w:val="0055197B"/>
    <w:rsid w:val="00562A4B"/>
    <w:rsid w:val="005742AF"/>
    <w:rsid w:val="005D6D1E"/>
    <w:rsid w:val="00663451"/>
    <w:rsid w:val="00682CF9"/>
    <w:rsid w:val="006E57A5"/>
    <w:rsid w:val="00734F2E"/>
    <w:rsid w:val="0078487C"/>
    <w:rsid w:val="007A7D79"/>
    <w:rsid w:val="007B52B7"/>
    <w:rsid w:val="008256E7"/>
    <w:rsid w:val="00855CE0"/>
    <w:rsid w:val="00954ED9"/>
    <w:rsid w:val="009A593E"/>
    <w:rsid w:val="009F6253"/>
    <w:rsid w:val="00A47848"/>
    <w:rsid w:val="00AF429B"/>
    <w:rsid w:val="00B40AAE"/>
    <w:rsid w:val="00BC03C6"/>
    <w:rsid w:val="00BC51B7"/>
    <w:rsid w:val="00C33B6E"/>
    <w:rsid w:val="00C471F6"/>
    <w:rsid w:val="00C93564"/>
    <w:rsid w:val="00D229B7"/>
    <w:rsid w:val="00DB5E57"/>
    <w:rsid w:val="00DD7703"/>
    <w:rsid w:val="00DE0954"/>
    <w:rsid w:val="00E20B67"/>
    <w:rsid w:val="00E706DF"/>
    <w:rsid w:val="00EB675F"/>
    <w:rsid w:val="00ED20B1"/>
    <w:rsid w:val="00EE0DAF"/>
    <w:rsid w:val="00F0752B"/>
    <w:rsid w:val="00F7656D"/>
    <w:rsid w:val="00FA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7C2A8"/>
  <w15:chartTrackingRefBased/>
  <w15:docId w15:val="{5E230FF8-223D-DD47-A727-79AB888B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3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3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5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564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5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5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3564"/>
    <w:rPr>
      <w:b/>
      <w:bCs/>
    </w:rPr>
  </w:style>
  <w:style w:type="character" w:styleId="Hyperlink">
    <w:name w:val="Hyperlink"/>
    <w:basedOn w:val="DefaultParagraphFont"/>
    <w:uiPriority w:val="99"/>
    <w:unhideWhenUsed/>
    <w:rsid w:val="00C935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23F2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6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2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dpr.eu/check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34</cp:revision>
  <dcterms:created xsi:type="dcterms:W3CDTF">2025-03-25T00:55:00Z</dcterms:created>
  <dcterms:modified xsi:type="dcterms:W3CDTF">2025-03-30T23:01:00Z</dcterms:modified>
</cp:coreProperties>
</file>