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4lpdryma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Insights &amp; Action Plan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up9r2u6fh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Revenue Dynamics &amp; Customer Segmentation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0j3ckbot4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Insights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Everyday Retail Users:</w:t>
      </w:r>
      <w:r w:rsidDel="00000000" w:rsidR="00000000" w:rsidRPr="00000000">
        <w:rPr>
          <w:rtl w:val="0"/>
        </w:rPr>
        <w:t xml:space="preserve"> Represent the highest overall transaction frequency and steady daily account activity, though average transaction values are smaller. They rely heavily on the platform for routine bills, airtime, and peer-to-peer transfers.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SMEs &amp; High-Spending Students:</w:t>
      </w:r>
      <w:r w:rsidDel="00000000" w:rsidR="00000000" w:rsidRPr="00000000">
        <w:rPr>
          <w:rtl w:val="0"/>
        </w:rPr>
        <w:t xml:space="preserve"> Drive a disproportionately large percentage of total transaction volume and higher account balances. Commercial/SME accounts show complex transactional needs (multi-user access, higher limits, invoicing), while high-spending student tiers exhibit high velocity in discretionary and digital transfer spending.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mcepqyphe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Imperatives &amp; Recommendations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Imperative:</w:t>
      </w:r>
      <w:r w:rsidDel="00000000" w:rsidR="00000000" w:rsidRPr="00000000">
        <w:rPr>
          <w:rtl w:val="0"/>
        </w:rPr>
        <w:t xml:space="preserve"> Tailor product experiences to match segment-specific user behavior to drive volume growth and retention.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Everyday Users:</w:t>
      </w:r>
      <w:r w:rsidDel="00000000" w:rsidR="00000000" w:rsidRPr="00000000">
        <w:rPr>
          <w:rtl w:val="0"/>
        </w:rPr>
        <w:t xml:space="preserve"> Keep experience simple and quick. Implement micro-convenience features like auto-paying recurring bills, quick-tap transfers, and automated spare-change savings rules to maximize daily retention and deposit stickiness.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Businesses &amp; High-Spending Students:</w:t>
      </w:r>
      <w:r w:rsidDel="00000000" w:rsidR="00000000" w:rsidRPr="00000000">
        <w:rPr>
          <w:rtl w:val="0"/>
        </w:rPr>
        <w:t xml:space="preserve"> Develop specialized power-user tools. Expand daily transfer thresholds, introduce multi-user permission roles, and provide integrated invoicing and sub-accounts for SMEs.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hu6f5urcj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Digital Platforms &amp; Operations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ygp8438es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Insights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mobile app drives the vast majority of overall transaction volume, making mobile-first stability critical to operation.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analysis reveals mobile transaction failures, pending states, and forced refunds that lock up approximately ₦50 million in uncollected or delayed revenue.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blklrwcvj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Imperatives &amp; Recommendations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Imperative:</w:t>
      </w:r>
      <w:r w:rsidDel="00000000" w:rsidR="00000000" w:rsidRPr="00000000">
        <w:rPr>
          <w:rtl w:val="0"/>
        </w:rPr>
        <w:t xml:space="preserve"> Plug core infrastructure leaks on the mobile platform to recover tied-up capital and stabilize transaction completion rates.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Fix Payment Errors &amp; Failed Flows:</w:t>
      </w:r>
      <w:r w:rsidDel="00000000" w:rsidR="00000000" w:rsidRPr="00000000">
        <w:rPr>
          <w:rtl w:val="0"/>
        </w:rPr>
        <w:t xml:space="preserve"> Optimize mobile app payment routes, network retry logic, and partner integrations to resolve pending/failed transaction loops, immediately reclaiming lost processing revenue and restoring user trust.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2tcli5is5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Upgrades &amp; Foreign Exchange (FX)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z6krmjnsa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Insights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Cross-border and foreign currency transactions represent a high-margin opportunity with significantly higher average order values compared to domestic Naira transfers.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cross-border capabilities suffer from high fees, latency, and limited currency options, driving high-value users toward alternative remittance channels.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fbibn90rn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Imperatives &amp; Recommendations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Imperative:</w:t>
      </w:r>
      <w:r w:rsidDel="00000000" w:rsidR="00000000" w:rsidRPr="00000000">
        <w:rPr>
          <w:rtl w:val="0"/>
        </w:rPr>
        <w:t xml:space="preserve"> Capitalize on cross-border payment demand to unlock high-margin fee revenue.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Recommendations: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Launch Foreign Currency Features:</w:t>
      </w:r>
      <w:r w:rsidDel="00000000" w:rsidR="00000000" w:rsidRPr="00000000">
        <w:rPr>
          <w:rtl w:val="0"/>
        </w:rPr>
        <w:t xml:space="preserve"> Build multi-currency wallets (e.g., USD, GBP, EUR) and streamline cross-border payment corridors with reduced latency and competitive FX margins to capture international senders and business importers.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yllwxltv8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&amp; Fraud Protection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fv45c583h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Insights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patterns indicate heavy concentration on Android mobile platforms in specific geographic hubs (notably Port Harcourt), particularly affecting high-value transactions exceeding ₦50,000.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High-friction security checks across all transactions increase overall platform drop-off without effectively targeting high-risk profiles.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v3l15sxcu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Imperatives &amp; Recommendations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Imperative:</w:t>
      </w:r>
      <w:r w:rsidDel="00000000" w:rsidR="00000000" w:rsidRPr="00000000">
        <w:rPr>
          <w:rtl w:val="0"/>
        </w:rPr>
        <w:t xml:space="preserve"> Implement adaptive, intelligence-led fraud defenses to protect capital without hindering valid user transactions.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Recommendations: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Targeted App Security:</w:t>
      </w:r>
      <w:r w:rsidDel="00000000" w:rsidR="00000000" w:rsidRPr="00000000">
        <w:rPr>
          <w:rtl w:val="0"/>
        </w:rPr>
        <w:t xml:space="preserve"> Deploy smart, dynamic authentication triggers (facial recognition, biometric prompts, or OTP verifications) specifically calibrated for high-risk Android device profiles and high-value transactions (&gt;₦50,000) originating in flag-worthy locations.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b93gvwzy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Keeping Customers Active (Lifecycle Management)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5emw4foma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Insights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activation peaks sharply within the first 90 days of onboarding before experiencing a steep drop-off if core habits are not formed early.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accounts demonstrate earlier churn timelines than personal retail accounts due to operational friction or unaddressed business needs.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059xu83wy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Imperatives &amp; Recommendations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Imperative:</w:t>
      </w:r>
      <w:r w:rsidDel="00000000" w:rsidR="00000000" w:rsidRPr="00000000">
        <w:rPr>
          <w:rtl w:val="0"/>
        </w:rPr>
        <w:t xml:space="preserve"> Systematize early-stage onboarding habits and deploy proactive anti-churn flags for enterprise/SME accounts.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Recommendations: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Hook New Users Early:</w:t>
      </w:r>
      <w:r w:rsidDel="00000000" w:rsidR="00000000" w:rsidRPr="00000000">
        <w:rPr>
          <w:rtl w:val="0"/>
        </w:rPr>
        <w:t xml:space="preserve"> Guide new accounts toward setting up direct deposits, automated bills, or virtual cards within their first 90 days to establish long-term account stickiness.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 Business Accounts Before They Leave:</w:t>
      </w:r>
      <w:r w:rsidDel="00000000" w:rsidR="00000000" w:rsidRPr="00000000">
        <w:rPr>
          <w:rtl w:val="0"/>
        </w:rPr>
        <w:t xml:space="preserve"> Establish automated early-warning triggers to alert account managers or dispatch targeted re-engagement incentives whenever an SME account experiences a sharp decline in 30-day transaction activity.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