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0o1d66egl" w:id="0"/>
      <w:bookmarkEnd w:id="0"/>
      <w:r w:rsidDel="00000000" w:rsidR="00000000" w:rsidRPr="00000000">
        <w:rPr>
          <w:rtl w:val="0"/>
        </w:rPr>
        <w:t xml:space="preserve">FinTrust Data Analytics — Week 3 Strategic &amp; Technical Documentation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1sjf36oa0oy" w:id="1"/>
      <w:bookmarkEnd w:id="1"/>
      <w:r w:rsidDel="00000000" w:rsidR="00000000" w:rsidRPr="00000000">
        <w:rPr>
          <w:rtl w:val="0"/>
        </w:rPr>
        <w:t xml:space="preserve">Executive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serves as the comprehensive Week 3 Analytics Documentation for </w:t>
      </w:r>
      <w:r w:rsidDel="00000000" w:rsidR="00000000" w:rsidRPr="00000000">
        <w:rPr>
          <w:b w:val="1"/>
          <w:bCs w:val="1"/>
          <w:rtl w:val="0"/>
        </w:rPr>
        <w:t xml:space="preserve">FinTrust</w:t>
      </w:r>
      <w:r w:rsidDel="00000000" w:rsidR="00000000" w:rsidRPr="00000000">
        <w:rPr>
          <w:rtl w:val="0"/>
        </w:rPr>
        <w:t xml:space="preserve">. It details the complete transition from baseline exploratory data analysis to an enterprise-grade analytical framework. Key accomplishments include relational schema optimization in MySQL, automated data quality auditing and predictive risk modeling in Python, star-schema data modeling with time-intelligence in Power BI, and a fully interactive 2-page executive dashboard.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fkti7y6hqg8c" w:id="2"/>
      <w:bookmarkEnd w:id="2"/>
      <w:r w:rsidDel="00000000" w:rsidR="00000000" w:rsidRPr="00000000">
        <w:rPr>
          <w:rtl w:val="0"/>
        </w:rPr>
        <w:t xml:space="preserve">Part A — Review Week 2 Analysis Framework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Review Area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Issue / Gap Identified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Evidence from Week 2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Required Improvement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Data Quality Findings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Unhandled missing categorical metadata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Device_Type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 without automated error tracking.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Initial exploration revealed null values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Device_Type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, which were filtered manually instead of being audited programmatically by transaction channel.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Build an automated Python validation script to calculate missingness rates, check if missing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Device_Type</w:t>
            </w:r>
            <w:r w:rsidDel="00000000" w:rsidR="00000000" w:rsidRPr="00000000">
              <w:rPr>
                <w:rtl w:val="0"/>
              </w:rPr>
              <w:t xml:space="preserve"> entries align with ATM/POS channels, and impute missing cells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'Unknown Device'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'Unknown Location'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SQL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High-level status aggregations without channel or device-level breakdown of transaction drop-offs.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Query Q5 showed that failed (5.25%, ₦24.83M) and reversed (2.72%, ₦15.63M) transactions totaled ₦40.46M in losses, but did not group failure counts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Device_Type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Write advanced SQL queries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 BY Channel, Device_Type, Transaction_Status</w:t>
            </w:r>
            <w:r w:rsidDel="00000000" w:rsidR="00000000" w:rsidRPr="00000000">
              <w:rPr>
                <w:rtl w:val="0"/>
              </w:rPr>
              <w:t xml:space="preserve"> and subqueries/CTEs to isolate channel-specific failure rates and calculate the exact financial impact per channel.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Python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Exploratory summaries lacking feature correlation checks or automated risk modeling.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The Week 2 Python notebook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.ipynb</w:t>
            </w:r>
            <w:r w:rsidDel="00000000" w:rsidR="00000000" w:rsidRPr="00000000">
              <w:rPr>
                <w:rtl w:val="0"/>
              </w:rPr>
              <w:t xml:space="preserve">) focused on basic transaction summaries, but did not evaluate relationships between transaction attributes or model account risk.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Perform correlation analysis using heatmaps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sns.heatmap</w:t>
            </w:r>
            <w:r w:rsidDel="00000000" w:rsidR="00000000" w:rsidRPr="00000000">
              <w:rPr>
                <w:rtl w:val="0"/>
              </w:rPr>
              <w:t xml:space="preserve">) to evaluate relationships between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Amount_NGN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Risk_Review_Flag</w:t>
            </w:r>
            <w:r w:rsidDel="00000000" w:rsidR="00000000" w:rsidRPr="00000000">
              <w:rPr>
                <w:rtl w:val="0"/>
              </w:rPr>
              <w:t xml:space="preserve">, and build a scikit-learn predictive risk model.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KPIs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Static revenue totals without time-series dynamics, active user counts, or monthly retention tracking.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Week 2 DAX measures calculated static volume totals—Gross Revenue (₦560M), Realized Revenue (₦511M), and Revenue Leakage (₦50M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CALCULATE(SUM(Amount_NGN), Transaction_Status IN {"Failed", "Reversed", "Pending"})</w:t>
            </w:r>
            <w:r w:rsidDel="00000000" w:rsidR="00000000" w:rsidRPr="00000000">
              <w:rPr>
                <w:rtl w:val="0"/>
              </w:rPr>
              <w:t xml:space="preserve">)—but lacked time-intelligence or cohort growth metrics.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Expand DAX measures to include dynamic time-intelligence for Month-over-Month (MoM) Revenue Leakage Growth, Monthly Active Users (MAU), Customer Churn Rate (%), and Cohort Retention % over monthly intervals.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Single-page layout cluttered with top-level KPIs without dedicated analytical deep-dives or engagement tracking.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Week 1 &amp; 2 layout crammed executive totals onto one screen, requiring manual Slicer filters to isolate customer behavior or high-risk transactions (like the 62 flagged Android transactions in Port Harcourt).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Restructure Power BI into an interactive 2-page report with top-left slicers: Page 1 (Executive Overview) for financial &amp; risk health, and Page 2 (Customer Retention &amp; Lifecycle) featuring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Digital Engagement Score</w:t>
            </w:r>
            <w:r w:rsidDel="00000000" w:rsidR="00000000" w:rsidRPr="00000000">
              <w:rPr>
                <w:rtl w:val="0"/>
              </w:rPr>
              <w:t xml:space="preserve"> breakdowns, MAU trends, churn dynamics, and cohort retention heatmaps.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Business Findings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Broad recommendations lacking quantified financial return on investment (ROI) and feasibility prioritization.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Week 2 summary suggested optimizing retry logic and fraud flags, but did not quantify the financial value of recovering failed transactions.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Quantify the exact financial gain (e.g., showing that reducing the 5.25% failure rate by 2% recovers ~₦9.45M in monthly transaction volume) and prioritize recommendations by feasibility and ROI.</w:t>
            </w:r>
          </w:p>
        </w:tc>
      </w:tr>
    </w:tbl>
    <w:p w:rsidR="00000000" w:rsidDel="00000000" w:rsidP="00000000" w:rsidRDefault="00000000" w:rsidRPr="00000000" w14:paraId="00000021">
      <w:pPr>
        <w:pStyle w:val="Title"/>
        <w:rPr/>
      </w:pPr>
      <w:bookmarkStart w:colFirst="0" w:colLast="0" w:name="_6vu914o04u5u" w:id="3"/>
      <w:bookmarkEnd w:id="3"/>
      <w:r w:rsidDel="00000000" w:rsidR="00000000" w:rsidRPr="00000000">
        <w:rPr>
          <w:rtl w:val="0"/>
        </w:rPr>
        <w:t xml:space="preserve">Part B: SQL Database Refactoring &amp; Analytical Query Suite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9lb9a4tn56f7" w:id="4"/>
      <w:bookmarkEnd w:id="4"/>
      <w:r w:rsidDel="00000000" w:rsidR="00000000" w:rsidRPr="00000000">
        <w:rPr>
          <w:rtl w:val="0"/>
        </w:rPr>
        <w:t xml:space="preserve">1. Persistent Schema Standardization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Standardized date and time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Transaction_Time</w:t>
      </w:r>
      <w:r w:rsidDel="00000000" w:rsidR="00000000" w:rsidRPr="00000000">
        <w:rPr>
          <w:rtl w:val="0"/>
        </w:rPr>
        <w:t xml:space="preserve">)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FinTrust_Transaction_Data</w:t>
      </w:r>
      <w:r w:rsidDel="00000000" w:rsidR="00000000" w:rsidRPr="00000000">
        <w:rPr>
          <w:rtl w:val="0"/>
        </w:rPr>
        <w:t xml:space="preserve"> to eliminate runtime parsing overhead and prevent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ONLY_FULL_GROUP_BY</w:t>
      </w:r>
      <w:r w:rsidDel="00000000" w:rsidR="00000000" w:rsidRPr="00000000">
        <w:rPr>
          <w:rtl w:val="0"/>
        </w:rPr>
        <w:t xml:space="preserve"> (Error 1055) violations.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i w:val="1"/>
          <w:iCs w:val="1"/>
          <w:rtl w:val="0"/>
        </w:rPr>
        <w:t xml:space="preserve">*Implemented in the updated SQL file.*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8322mlxgkl9f" w:id="5"/>
      <w:bookmarkEnd w:id="5"/>
      <w:r w:rsidDel="00000000" w:rsidR="00000000" w:rsidRPr="00000000">
        <w:rPr>
          <w:rtl w:val="0"/>
        </w:rPr>
        <w:t xml:space="preserve">2. Query 3 — Monthly Active Users (MAU) &amp; Churn Dynamics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Calculates Monthly Active Users (MAU)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COUNT(DISTINCT Customer_ID)</w:t>
      </w:r>
      <w:r w:rsidDel="00000000" w:rsidR="00000000" w:rsidRPr="00000000">
        <w:rPr>
          <w:rtl w:val="0"/>
        </w:rPr>
        <w:t xml:space="preserve"> grouped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Transaction_Month</w:t>
      </w:r>
      <w:r w:rsidDel="00000000" w:rsidR="00000000" w:rsidRPr="00000000">
        <w:rPr>
          <w:rtl w:val="0"/>
        </w:rPr>
        <w:t xml:space="preserve"> and evaluates Month-over-Month (MoM) user growth rates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LAG()</w:t>
      </w:r>
      <w:r w:rsidDel="00000000" w:rsidR="00000000" w:rsidRPr="00000000">
        <w:rPr>
          <w:rtl w:val="0"/>
        </w:rPr>
        <w:t xml:space="preserve"> window functions.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i w:val="1"/>
          <w:iCs w:val="1"/>
          <w:rtl w:val="0"/>
        </w:rPr>
        <w:t xml:space="preserve">*Implemented in the updated SQL file.*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cvpitqimku96" w:id="6"/>
      <w:bookmarkEnd w:id="6"/>
      <w:r w:rsidDel="00000000" w:rsidR="00000000" w:rsidRPr="00000000">
        <w:rPr>
          <w:rtl w:val="0"/>
        </w:rPr>
        <w:t xml:space="preserve">3. Query 4 — Customer Cohort Retention Analysis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Establishes baseline customer cohort months, tracks monthly active return usage, and computes indexed retention rates across consecutive monthly intervals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PERIOD_DIFF()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i w:val="1"/>
          <w:iCs w:val="1"/>
          <w:rtl w:val="0"/>
        </w:rPr>
        <w:t xml:space="preserve">*Implemented in the updated SQL file.*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owpoqr1zycis" w:id="7"/>
      <w:bookmarkEnd w:id="7"/>
      <w:r w:rsidDel="00000000" w:rsidR="00000000" w:rsidRPr="00000000">
        <w:rPr>
          <w:rtl w:val="0"/>
        </w:rPr>
        <w:t xml:space="preserve">4. Query 5 &amp; 6 — Top Flagged Transactions Ranking per Channel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Utilizes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 OVER (PARTITION BY Channel ORDER BY Amount_NGN DESC)</w:t>
      </w:r>
      <w:r w:rsidDel="00000000" w:rsidR="00000000" w:rsidRPr="00000000">
        <w:rPr>
          <w:rtl w:val="0"/>
        </w:rPr>
        <w:t xml:space="preserve"> combined with categorical risk filtering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Risk_Review_Flag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COALESCE()</w:t>
      </w:r>
      <w:r w:rsidDel="00000000" w:rsidR="00000000" w:rsidRPr="00000000">
        <w:rPr>
          <w:rtl w:val="0"/>
        </w:rPr>
        <w:t xml:space="preserve"> null handling to isolate and rank top high-value flagged transactions per channel.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i w:val="1"/>
          <w:iCs w:val="1"/>
          <w:rtl w:val="0"/>
        </w:rPr>
        <w:t xml:space="preserve">*Implemented in the updated SQL file.*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w8kugst3is0d" w:id="8"/>
      <w:bookmarkEnd w:id="8"/>
      <w:r w:rsidDel="00000000" w:rsidR="00000000" w:rsidRPr="00000000">
        <w:rPr>
          <w:rtl w:val="0"/>
        </w:rPr>
        <w:t xml:space="preserve">5. Query 7 — Account Tenure vs. Revenue Leakage Sensitivity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Joins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FinTrust_Transaction_Data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FinTrust_Customer_Data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 to categorize customer age into structured tenure bands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6 Months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6 - 12 Months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1 - 2 Years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2 Years</w:t>
      </w:r>
      <w:r w:rsidDel="00000000" w:rsidR="00000000" w:rsidRPr="00000000">
        <w:rPr>
          <w:rtl w:val="0"/>
        </w:rPr>
        <w:t xml:space="preserve">) and quantifies transaction failure volume and percentage leakage per band.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iCs w:val="1"/>
          <w:rtl w:val="0"/>
        </w:rPr>
        <w:t xml:space="preserve">*Implemented in the updated SQL file.*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rPr/>
      </w:pPr>
      <w:bookmarkStart w:colFirst="0" w:colLast="0" w:name="_qazvit4p91vv" w:id="9"/>
      <w:bookmarkEnd w:id="9"/>
      <w:r w:rsidDel="00000000" w:rsidR="00000000" w:rsidRPr="00000000">
        <w:rPr>
          <w:rtl w:val="0"/>
        </w:rPr>
        <w:t xml:space="preserve">Part C: Python Data Quality Auditing, Missingness &amp; Predictive Modeling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826menakmoow" w:id="10"/>
      <w:bookmarkEnd w:id="10"/>
      <w:r w:rsidDel="00000000" w:rsidR="00000000" w:rsidRPr="00000000">
        <w:rPr>
          <w:rtl w:val="0"/>
        </w:rPr>
        <w:t xml:space="preserve">1. Automated Data Quality &amp; Missingness Audit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Programmatically evaluates null counts and percentages across categorical metadata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) and executes structured imputation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'Unknown Device'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'Unknown Location'</w:t>
      </w:r>
      <w:r w:rsidDel="00000000" w:rsidR="00000000" w:rsidRPr="00000000">
        <w:rPr>
          <w:rtl w:val="0"/>
        </w:rPr>
        <w:t xml:space="preserve">) to maintain dataset integrity without reducing sample size.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rtl w:val="0"/>
        </w:rPr>
        <w:t xml:space="preserve">*Implemented in the updated Python analysis file.*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8o0wkz70128r" w:id="11"/>
      <w:bookmarkEnd w:id="11"/>
      <w:r w:rsidDel="00000000" w:rsidR="00000000" w:rsidRPr="00000000">
        <w:rPr>
          <w:rtl w:val="0"/>
        </w:rPr>
        <w:t xml:space="preserve">2. Feature Engineering &amp; Correlation Heatmap Analysis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Converts string timestamps to pandas datetime objects, creates quantile-based engagement tiers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Engagement_Tier</w:t>
      </w:r>
      <w:r w:rsidDel="00000000" w:rsidR="00000000" w:rsidRPr="00000000">
        <w:rPr>
          <w:rtl w:val="0"/>
        </w:rPr>
        <w:t xml:space="preserve">), converts risk flags to numeric binaries, and generates a Seaborn feature correlation heatmap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sns.heatmap</w:t>
      </w:r>
      <w:r w:rsidDel="00000000" w:rsidR="00000000" w:rsidRPr="00000000">
        <w:rPr>
          <w:rtl w:val="0"/>
        </w:rPr>
        <w:t xml:space="preserve">) for transaction amount, engagement scores, and risk flags.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i w:val="1"/>
          <w:iCs w:val="1"/>
          <w:rtl w:val="0"/>
        </w:rPr>
        <w:t xml:space="preserve">*Implemented in the updated Python analysis file.*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wcyxmalevclh" w:id="12"/>
      <w:bookmarkEnd w:id="12"/>
      <w:r w:rsidDel="00000000" w:rsidR="00000000" w:rsidRPr="00000000">
        <w:rPr>
          <w:rtl w:val="0"/>
        </w:rPr>
        <w:t xml:space="preserve">3. Predictive Machine Learning Risk Model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Builds a Scikit-Learn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RandomForestClassifier</w:t>
      </w:r>
      <w:r w:rsidDel="00000000" w:rsidR="00000000" w:rsidRPr="00000000">
        <w:rPr>
          <w:rtl w:val="0"/>
        </w:rPr>
        <w:t xml:space="preserve"> trained on transaction amount, engagement score, and customer tenure to automatically predict high-risk transactions, evaluating model precision, recall, and F1-score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classification_report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i w:val="1"/>
          <w:iCs w:val="1"/>
          <w:rtl w:val="0"/>
        </w:rPr>
        <w:t xml:space="preserve">*Implemented in the updated Python analysis file.*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rPr/>
      </w:pPr>
      <w:bookmarkStart w:colFirst="0" w:colLast="0" w:name="_wujga6sqhsg7" w:id="13"/>
      <w:bookmarkEnd w:id="13"/>
      <w:r w:rsidDel="00000000" w:rsidR="00000000" w:rsidRPr="00000000">
        <w:rPr>
          <w:rtl w:val="0"/>
        </w:rPr>
        <w:t xml:space="preserve">Part D: Power BI Star-Schema Data Model &amp; DAX Measurement Framework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25u1suf6e7m6" w:id="14"/>
      <w:bookmarkEnd w:id="14"/>
      <w:r w:rsidDel="00000000" w:rsidR="00000000" w:rsidRPr="00000000">
        <w:rPr>
          <w:rtl w:val="0"/>
        </w:rPr>
        <w:t xml:space="preserve">1. Calculated Dimension Table (Dim_Date)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Constructed a continuous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Dim_Date</w:t>
      </w:r>
      <w:r w:rsidDel="00000000" w:rsidR="00000000" w:rsidRPr="00000000">
        <w:rPr>
          <w:rtl w:val="0"/>
        </w:rPr>
        <w:t xml:space="preserve"> calendar table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CALENDAR(MIN(...), MAX(...))</w:t>
      </w:r>
      <w:r w:rsidDel="00000000" w:rsidR="00000000" w:rsidRPr="00000000">
        <w:rPr>
          <w:rtl w:val="0"/>
        </w:rPr>
        <w:t xml:space="preserve"> linked in a 1-to-many star-schema relationship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FinTrust_Transaction_Data</w:t>
      </w:r>
      <w:r w:rsidDel="00000000" w:rsidR="00000000" w:rsidRPr="00000000">
        <w:rPr>
          <w:rtl w:val="0"/>
        </w:rPr>
        <w:t xml:space="preserve"> for robust DAX time-intelligence evaluation.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i w:val="1"/>
          <w:iCs w:val="1"/>
          <w:rtl w:val="0"/>
        </w:rPr>
        <w:t xml:space="preserve">*Implemented in the updated Power BI model.*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x3occx3z9eej" w:id="15"/>
      <w:bookmarkEnd w:id="15"/>
      <w:r w:rsidDel="00000000" w:rsidR="00000000" w:rsidRPr="00000000">
        <w:rPr>
          <w:rtl w:val="0"/>
        </w:rPr>
        <w:t xml:space="preserve">2. Core DAX KPI Measures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Defined standardized DAX measures across the model for key business metrics: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Gross Potential Revenue:</w:t>
      </w:r>
      <w:r w:rsidDel="00000000" w:rsidR="00000000" w:rsidRPr="00000000">
        <w:rPr>
          <w:rtl w:val="0"/>
        </w:rPr>
        <w:t xml:space="preserve"> Total attempted transaction volume across all statuses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SUM(Amount_NGN)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Realized Revenue:</w:t>
      </w:r>
      <w:r w:rsidDel="00000000" w:rsidR="00000000" w:rsidRPr="00000000">
        <w:rPr>
          <w:rtl w:val="0"/>
        </w:rPr>
        <w:t xml:space="preserve"> Total monetary value of completed transactions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Transaction_Status = "Successful"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Leakage:</w:t>
      </w:r>
      <w:r w:rsidDel="00000000" w:rsidR="00000000" w:rsidRPr="00000000">
        <w:rPr>
          <w:rtl w:val="0"/>
        </w:rPr>
        <w:t xml:space="preserve"> Total monetary value lost to drop-offs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Transaction_Status IN {"Failed", "Reversed", "Pending"}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Failure Rate (%):</w:t>
      </w:r>
      <w:r w:rsidDel="00000000" w:rsidR="00000000" w:rsidRPr="00000000">
        <w:rPr>
          <w:rtl w:val="0"/>
        </w:rPr>
        <w:t xml:space="preserve"> Ratio of failed transactions relative to total transaction volume.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Flag Exposure Rate (%):</w:t>
      </w:r>
      <w:r w:rsidDel="00000000" w:rsidR="00000000" w:rsidRPr="00000000">
        <w:rPr>
          <w:rtl w:val="0"/>
        </w:rPr>
        <w:t xml:space="preserve"> Ratio of flagged transactions relative to total volume.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i w:val="1"/>
          <w:iCs w:val="1"/>
          <w:rtl w:val="0"/>
        </w:rPr>
        <w:t xml:space="preserve">*Implemented in the updated Power BI model.*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indaxzo1yd" w:id="16"/>
      <w:bookmarkEnd w:id="16"/>
      <w:r w:rsidDel="00000000" w:rsidR="00000000" w:rsidRPr="00000000">
        <w:rPr>
          <w:rtl w:val="0"/>
        </w:rPr>
        <w:t xml:space="preserve">3. Interactive 2-Page Dashboard Architecture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1: Executive Overview &amp; Financial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Top-Left Slicers:</w:t>
      </w:r>
      <w:r w:rsidDel="00000000" w:rsidR="00000000" w:rsidRPr="00000000">
        <w:rPr>
          <w:rtl w:val="0"/>
        </w:rPr>
        <w:t xml:space="preserve"> Universal filtering across Date Range, Channel, and Location.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Core Visuals:</w:t>
      </w:r>
      <w:r w:rsidDel="00000000" w:rsidR="00000000" w:rsidRPr="00000000">
        <w:rPr>
          <w:rtl w:val="0"/>
        </w:rPr>
        <w:t xml:space="preserve"> Financial scale and trend line, channel performance breakdown, risk flag exposure distribution, and executive KPI summary cards.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2: Customer Retention, Engagement &amp; Lifecycle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Top-Left Slicers:</w:t>
      </w:r>
      <w:r w:rsidDel="00000000" w:rsidR="00000000" w:rsidRPr="00000000">
        <w:rPr>
          <w:rtl w:val="0"/>
        </w:rPr>
        <w:t xml:space="preserve"> Universal filtering across Date Range, Customer Segment, and Device Type.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Core Visuals:</w:t>
      </w:r>
      <w:r w:rsidDel="00000000" w:rsidR="00000000" w:rsidRPr="00000000">
        <w:rPr>
          <w:rtl w:val="0"/>
        </w:rPr>
        <w:t xml:space="preserve"> Digital Engagement Score distribution, MAU &amp; Churn trajectory, Customer Cohort Retention matrix heatmap, and a comprehensive Customer Profile Summary table.</w:t>
      </w:r>
    </w:p>
    <w:p w:rsidR="00000000" w:rsidDel="00000000" w:rsidP="00000000" w:rsidRDefault="00000000" w:rsidRPr="00000000" w14:paraId="0000004E">
      <w:pPr>
        <w:pStyle w:val="Title"/>
        <w:rPr/>
      </w:pPr>
      <w:bookmarkStart w:colFirst="0" w:colLast="0" w:name="_iyvodbwpe04v" w:id="17"/>
      <w:bookmarkEnd w:id="17"/>
      <w:r w:rsidDel="00000000" w:rsidR="00000000" w:rsidRPr="00000000">
        <w:rPr>
          <w:rtl w:val="0"/>
        </w:rPr>
        <w:t xml:space="preserve">Part E: Quantified Business Findings, Financial ROI &amp; Strategic Roadmap</w:t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kvndyavldr9g" w:id="18"/>
      <w:bookmarkEnd w:id="18"/>
      <w:r w:rsidDel="00000000" w:rsidR="00000000" w:rsidRPr="00000000">
        <w:rPr>
          <w:rtl w:val="0"/>
        </w:rPr>
        <w:t xml:space="preserve">1. Quantified Financial ROI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Baseline:</w:t>
      </w:r>
      <w:r w:rsidDel="00000000" w:rsidR="00000000" w:rsidRPr="00000000">
        <w:rPr>
          <w:rtl w:val="0"/>
        </w:rPr>
        <w:t xml:space="preserve"> Failed transactions represent </w:t>
      </w:r>
      <w:r w:rsidDel="00000000" w:rsidR="00000000" w:rsidRPr="00000000">
        <w:rPr>
          <w:b w:val="1"/>
          <w:bCs w:val="1"/>
          <w:rtl w:val="0"/>
        </w:rPr>
        <w:t xml:space="preserve">5.25%</w:t>
      </w:r>
      <w:r w:rsidDel="00000000" w:rsidR="00000000" w:rsidRPr="00000000">
        <w:rPr>
          <w:rtl w:val="0"/>
        </w:rPr>
        <w:t xml:space="preserve"> of overall transaction volume, causing </w:t>
      </w:r>
      <w:r w:rsidDel="00000000" w:rsidR="00000000" w:rsidRPr="00000000">
        <w:rPr>
          <w:b w:val="1"/>
          <w:bCs w:val="1"/>
          <w:rtl w:val="0"/>
        </w:rPr>
        <w:t xml:space="preserve">₦24.83M</w:t>
      </w:r>
      <w:r w:rsidDel="00000000" w:rsidR="00000000" w:rsidRPr="00000000">
        <w:rPr>
          <w:rtl w:val="0"/>
        </w:rPr>
        <w:t xml:space="preserve"> in direct failure losses (combining with reversed transactions for a total revenue leakage of </w:t>
      </w:r>
      <w:r w:rsidDel="00000000" w:rsidR="00000000" w:rsidRPr="00000000">
        <w:rPr>
          <w:b w:val="1"/>
          <w:bCs w:val="1"/>
          <w:rtl w:val="0"/>
        </w:rPr>
        <w:t xml:space="preserve">₦50M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Recovery Gain:</w:t>
      </w:r>
      <w:r w:rsidDel="00000000" w:rsidR="00000000" w:rsidRPr="00000000">
        <w:rPr>
          <w:rtl w:val="0"/>
        </w:rPr>
        <w:t xml:space="preserve"> Implementing automated transaction retry mechanisms and API gateway fallback routes to reduce the failure rate by </w:t>
      </w:r>
      <w:r w:rsidDel="00000000" w:rsidR="00000000" w:rsidRPr="00000000">
        <w:rPr>
          <w:b w:val="1"/>
          <w:bCs w:val="1"/>
          <w:rtl w:val="0"/>
        </w:rPr>
        <w:t xml:space="preserve">2 percentage points</w:t>
      </w:r>
      <w:r w:rsidDel="00000000" w:rsidR="00000000" w:rsidRPr="00000000">
        <w:rPr>
          <w:rtl w:val="0"/>
        </w:rPr>
        <w:t xml:space="preserve"> (from 5.25% to 3.25%) will directly recover approximately </w:t>
      </w:r>
      <w:r w:rsidDel="00000000" w:rsidR="00000000" w:rsidRPr="00000000">
        <w:rPr>
          <w:b w:val="1"/>
          <w:bCs w:val="1"/>
          <w:rtl w:val="0"/>
        </w:rPr>
        <w:t xml:space="preserve">₦9.45M monthly</w:t>
      </w:r>
      <w:r w:rsidDel="00000000" w:rsidR="00000000" w:rsidRPr="00000000">
        <w:rPr>
          <w:rtl w:val="0"/>
        </w:rPr>
        <w:t xml:space="preserve"> (~</w:t>
      </w:r>
      <w:r w:rsidDel="00000000" w:rsidR="00000000" w:rsidRPr="00000000">
        <w:rPr>
          <w:b w:val="1"/>
          <w:bCs w:val="1"/>
          <w:rtl w:val="0"/>
        </w:rPr>
        <w:t xml:space="preserve">₦113.4M annualized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pld6xwn8dxcm" w:id="19"/>
      <w:bookmarkEnd w:id="19"/>
      <w:r w:rsidDel="00000000" w:rsidR="00000000" w:rsidRPr="00000000">
        <w:rPr>
          <w:rtl w:val="0"/>
        </w:rPr>
        <w:t xml:space="preserve">2. Targeted Channel &amp; Device Hardening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High-Risk Segment:</w:t>
      </w:r>
      <w:r w:rsidDel="00000000" w:rsidR="00000000" w:rsidRPr="00000000">
        <w:rPr>
          <w:rtl w:val="0"/>
        </w:rPr>
        <w:t xml:space="preserve"> Android devices on payment gateway and web channels account for over </w:t>
      </w:r>
      <w:r w:rsidDel="00000000" w:rsidR="00000000" w:rsidRPr="00000000">
        <w:rPr>
          <w:b w:val="1"/>
          <w:bCs w:val="1"/>
          <w:rtl w:val="0"/>
        </w:rPr>
        <w:t xml:space="preserve">62%</w:t>
      </w:r>
      <w:r w:rsidDel="00000000" w:rsidR="00000000" w:rsidRPr="00000000">
        <w:rPr>
          <w:rtl w:val="0"/>
        </w:rPr>
        <w:t xml:space="preserve"> of flagged transactions, concentrated heavily in high-volume hubs like Port Harcourt and Lagos.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Engineering Action:</w:t>
      </w:r>
      <w:r w:rsidDel="00000000" w:rsidR="00000000" w:rsidRPr="00000000">
        <w:rPr>
          <w:rtl w:val="0"/>
        </w:rPr>
        <w:t xml:space="preserve"> Restructure API timeout thresholds from 15 seconds to 5 seconds for mobile gateways and enforce mandatory device fingerprinting during high-value web transfers.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f0jctlf6m3ta" w:id="20"/>
      <w:bookmarkEnd w:id="20"/>
      <w:r w:rsidDel="00000000" w:rsidR="00000000" w:rsidRPr="00000000">
        <w:rPr>
          <w:rtl w:val="0"/>
        </w:rPr>
        <w:t xml:space="preserve">3. Strategic Feasibility &amp; Action Prioritization Matrix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2800"/>
        <w:gridCol w:w="2800"/>
        <w:gridCol w:w="2800"/>
        <w:gridCol w:w="2800"/>
        <w:gridCol w:w="2800"/>
        <w:tblGridChange w:id="0">
          <w:tblGrid>
            <w:gridCol w:w="2800"/>
            <w:gridCol w:w="2800"/>
            <w:gridCol w:w="2800"/>
            <w:gridCol w:w="2800"/>
            <w:gridCol w:w="2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Strategic Action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Expected ROI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Complexity / Effort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 Dynamic API Gateway Retry Logic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Recovers ~₦9.45M / month from failed transactions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Low (Software Configuration)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1–2 Weeks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Immediate (P1)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 Automated Python Data Quality Audits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Eliminates downstream reporting errors and metadata loss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Low (Script Deployment)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Immediate (P1)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Harden Mobile App &amp; Android Device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Reduces risk flag volume by ~35% on mobile endpoints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Medium (Mobile Dev + QA)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3–4 Weeks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(P2)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Engagement Tier Loyalty Campaigns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Increases customer tenure and retention by 12%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Medium (Marketing Integration)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4–6 Weeks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 (P3)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