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C1 — Notes d'atelier — Gestion des réclamations clients (as-is)</w:t>
      </w:r>
    </w:p>
    <w:p>
      <w:r>
        <w:rPr>
          <w:b/>
        </w:rPr>
        <w:t>Source :</w:t>
      </w:r>
      <w:r>
        <w:t xml:space="preserve"> C1 — notes Word de la consultante</w:t>
      </w:r>
    </w:p>
    <w:p>
      <w:r>
        <w:rPr>
          <w:b/>
        </w:rPr>
        <w:t>Client :</w:t>
      </w:r>
      <w:r>
        <w:t xml:space="preserve"> Maison Lumen (vente en ligne de luminaires) — données inventées pour la démonstration</w:t>
      </w:r>
    </w:p>
    <w:p>
      <w:r>
        <w:rPr>
          <w:b/>
        </w:rPr>
        <w:t>Atelier :</w:t>
      </w:r>
      <w:r>
        <w:t xml:space="preserve"> traitement des réclamations clients, de la réception au règlement</w:t>
      </w:r>
    </w:p>
    <w:p>
      <w:r>
        <w:rPr>
          <w:b/>
        </w:rPr>
        <w:t>Participants côté client :</w:t>
      </w:r>
      <w:r>
        <w:t xml:space="preserve"> responsable du service client, conseillère service client, responsable qualité, comptable</w:t>
      </w:r>
    </w:p>
    <w:p>
      <w:pPr>
        <w:pStyle w:val="Heading1"/>
      </w:pPr>
      <w:r>
        <w:t>Explication générale (responsable du service client)</w:t>
      </w:r>
    </w:p>
    <w:p>
      <w:pPr>
        <w:pStyle w:val="ListBullet"/>
      </w:pPr>
      <w:r>
        <w:t>Tout commence quand un client envoie une réclamation par e-mail (produit cassé, produit non conforme, colis incomplet).</w:t>
      </w:r>
    </w:p>
    <w:p>
      <w:pPr>
        <w:pStyle w:val="ListBullet"/>
      </w:pPr>
      <w:r>
        <w:t>La conseillère service client enregistre la réclamation dans le CRM.</w:t>
      </w:r>
    </w:p>
    <w:p>
      <w:pPr>
        <w:pStyle w:val="ListBullet"/>
      </w:pPr>
      <w:r>
        <w:t>Elle vérifie ensuite la commande du client dans le CRM (date d'achat, produit, photos envoyées).</w:t>
      </w:r>
    </w:p>
    <w:p>
      <w:pPr>
        <w:pStyle w:val="ListBullet"/>
      </w:pPr>
      <w:r>
        <w:t>Elle décide si la réclamation est recevable : la commande a moins de 30 jours et le problème est prouvé par une photo.</w:t>
      </w:r>
    </w:p>
    <w:p>
      <w:pPr>
        <w:pStyle w:val="ListBullet2"/>
      </w:pPr>
      <w:r>
        <w:t>Si la réclamation n'est pas recevable, elle envoie au client un e-mail de refus motivé. La réclamation est close « refusée ».</w:t>
      </w:r>
    </w:p>
    <w:p>
      <w:pPr>
        <w:pStyle w:val="ListBullet2"/>
      </w:pPr>
      <w:r>
        <w:t>Si elle est recevable, elle demande au client s'il préfère un remboursement ou un échange.</w:t>
      </w:r>
    </w:p>
    <w:p>
      <w:pPr>
        <w:pStyle w:val="Heading1"/>
      </w:pPr>
      <w:r>
        <w:t>Cas du remboursement</w:t>
      </w:r>
    </w:p>
    <w:p>
      <w:pPr>
        <w:pStyle w:val="ListBullet"/>
      </w:pPr>
      <w:r>
        <w:t>Si le montant à rembourser est inférieur ou égal à 200 €, la conseillère prépare directement la demande de remboursement.</w:t>
      </w:r>
    </w:p>
    <w:p>
      <w:pPr>
        <w:pStyle w:val="ListBullet"/>
      </w:pPr>
      <w:r>
        <w:t>Au-dessus de 200 €, le responsable qualité doit valider le remboursement avant.</w:t>
      </w:r>
    </w:p>
    <w:p>
      <w:pPr>
        <w:pStyle w:val="ListBullet2"/>
      </w:pPr>
      <w:r>
        <w:t>S'il refuse, la conseillère envoie un e-mail de refus au client et la réclamation est close « refusée ».</w:t>
      </w:r>
    </w:p>
    <w:p>
      <w:pPr>
        <w:pStyle w:val="ListBullet2"/>
      </w:pPr>
      <w:r>
        <w:t>S'il valide, la conseillère prépare la demande de remboursement.</w:t>
      </w:r>
    </w:p>
    <w:p>
      <w:pPr>
        <w:pStyle w:val="ListBullet"/>
      </w:pPr>
      <w:r>
        <w:t>Le comptable effectue le remboursement par virement.</w:t>
      </w:r>
    </w:p>
    <w:p>
      <w:pPr>
        <w:pStyle w:val="ListBullet"/>
      </w:pPr>
      <w:r>
        <w:t>La conseillère envoie au client un e-mail de confirmation du remboursement. La réclamation est close « remboursée ».</w:t>
      </w:r>
    </w:p>
    <w:p>
      <w:pPr>
        <w:pStyle w:val="Heading1"/>
      </w:pPr>
      <w:r>
        <w:t>Cas de l'échange</w:t>
      </w:r>
    </w:p>
    <w:p>
      <w:pPr>
        <w:pStyle w:val="ListBullet"/>
      </w:pPr>
      <w:r>
        <w:t>La conseillère crée une commande d'échange dans le CRM et envoie au client une étiquette de retour.</w:t>
      </w:r>
    </w:p>
    <w:p>
      <w:pPr>
        <w:pStyle w:val="ListBullet"/>
      </w:pPr>
      <w:r>
        <w:t>Le client renvoie le produit défectueux.</w:t>
      </w:r>
    </w:p>
    <w:p>
      <w:pPr>
        <w:pStyle w:val="ListBullet"/>
      </w:pPr>
      <w:r>
        <w:t>Quand le produit revient, la conseillère expédie le produit de remplacement. La réclamation est close « échangée ».</w:t>
      </w:r>
    </w:p>
    <w:p>
      <w:pPr>
        <w:pStyle w:val="Heading1"/>
      </w:pPr>
      <w:r>
        <w:t>Questions posées et réponses</w:t>
      </w:r>
    </w:p>
    <w:p>
      <w:pPr>
        <w:pStyle w:val="ListBullet"/>
      </w:pPr>
      <w:r>
        <w:rPr>
          <w:b/>
        </w:rPr>
        <w:t>Q : Que se passe-t-il si le client ne renvoie pas le produit ?</w:t>
      </w:r>
    </w:p>
    <w:p>
      <w:pPr>
        <w:pStyle w:val="ListBullet2"/>
      </w:pPr>
      <w:r>
        <w:t>R (conseillère) : au bout de 14 jours sans retour, on envoie une relance au client.</w:t>
      </w:r>
    </w:p>
    <w:p>
      <w:pPr>
        <w:pStyle w:val="ListBullet"/>
      </w:pPr>
      <w:r>
        <w:rPr>
          <w:b/>
        </w:rPr>
        <w:t>Q : Et si, après la relance, il ne renvoie toujours rien ?</w:t>
      </w:r>
    </w:p>
    <w:p>
      <w:pPr>
        <w:pStyle w:val="ListBullet2"/>
      </w:pPr>
      <w:r>
        <w:t>R (conseillère) : 7 jours après la relance, on annule l'échange. La réclamation est close « échange annulé ».</w:t>
      </w:r>
    </w:p>
    <w:p>
      <w:pPr>
        <w:pStyle w:val="ListBullet"/>
      </w:pPr>
      <w:r>
        <w:rPr>
          <w:b/>
        </w:rPr>
        <w:t>Q : Qui fixe le seuil de 200 € ?</w:t>
      </w:r>
    </w:p>
    <w:p>
      <w:pPr>
        <w:pStyle w:val="ListBullet2"/>
      </w:pPr>
      <w:r>
        <w:t>R (responsable du service client) : c'est la règle interne depuis deux ans, elle est appliquée tout le temps.</w:t>
      </w:r>
    </w:p>
    <w:p>
      <w:pPr>
        <w:pStyle w:val="ListBullet"/>
      </w:pPr>
      <w:r>
        <w:rPr>
          <w:b/>
        </w:rPr>
        <w:t>Q : Le comptable informe-t-il le client ?</w:t>
      </w:r>
    </w:p>
    <w:p>
      <w:pPr>
        <w:pStyle w:val="ListBullet2"/>
      </w:pPr>
      <w:r>
        <w:t>R (comptable) : non, je fais seulement le virement ; c'est la conseillère qui prévient le client.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