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UNIVERSITY OF THE PHILIPPINES – PHILIPPINE GENERAL HOSPITAL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5125409</wp:posOffset>
            </wp:positionH>
            <wp:positionV relativeFrom="paragraph">
              <wp:posOffset>8561</wp:posOffset>
            </wp:positionV>
            <wp:extent cx="972364" cy="774416"/>
            <wp:effectExtent b="0" l="0" r="0" t="0"/>
            <wp:wrapNone/>
            <wp:docPr descr="DeptOfNeurosci seal.jpg" id="21" name="image3.jpg"/>
            <a:graphic>
              <a:graphicData uri="http://schemas.openxmlformats.org/drawingml/2006/picture">
                <pic:pic>
                  <pic:nvPicPr>
                    <pic:cNvPr descr="DeptOfNeurosci seal.jpg"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364" cy="7744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9525</wp:posOffset>
            </wp:positionV>
            <wp:extent cx="899160" cy="814705"/>
            <wp:effectExtent b="0" l="0" r="0" t="0"/>
            <wp:wrapNone/>
            <wp:docPr descr="PGH logo (new).gif" id="22" name="image2.png"/>
            <a:graphic>
              <a:graphicData uri="http://schemas.openxmlformats.org/drawingml/2006/picture">
                <pic:pic>
                  <pic:nvPicPr>
                    <pic:cNvPr descr="PGH logo (new).gif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8147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NEURO-ONCOLOGY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Ground Floor, Central Block Building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Taft Avenue, Manila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Tel. No. 554-8400 loc. 2401</w:t>
      </w:r>
    </w:p>
    <w:p w:rsidR="00000000" w:rsidDel="00000000" w:rsidP="00000000" w:rsidRDefault="00000000" w:rsidRPr="00000000" w14:paraId="00000006">
      <w:pPr>
        <w:pBdr>
          <w:bottom w:color="000000" w:space="1" w:sz="12" w:val="single"/>
        </w:pBd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15"/>
        <w:gridCol w:w="3263"/>
        <w:gridCol w:w="1560"/>
        <w:gridCol w:w="2287"/>
        <w:tblGridChange w:id="0">
          <w:tblGrid>
            <w:gridCol w:w="2515"/>
            <w:gridCol w:w="3263"/>
            <w:gridCol w:w="1560"/>
            <w:gridCol w:w="2287"/>
          </w:tblGrid>
        </w:tblGridChange>
      </w:tblGrid>
      <w:tr>
        <w:trPr>
          <w:cantSplit w:val="0"/>
          <w:trHeight w:val="11.98242187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Patient’s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CAPOY, JOSEPHINE VILLORDON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Case Number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4024566</w:t>
            </w:r>
          </w:p>
        </w:tc>
      </w:tr>
      <w:tr>
        <w:trPr>
          <w:cantSplit w:val="0"/>
          <w:trHeight w:val="178.2631911754373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Referring Physician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Dr. Julette F. Batara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Age / Sex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47 / F</w:t>
            </w:r>
          </w:p>
        </w:tc>
      </w:tr>
      <w:tr>
        <w:trPr>
          <w:cantSplit w:val="0"/>
          <w:trHeight w:val="176.98242187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Fellow-in-Charge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Dr. Elizer M. Montemayor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Date Referred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April 17, 2026</w:t>
            </w:r>
          </w:p>
        </w:tc>
      </w:tr>
      <w:tr>
        <w:trPr>
          <w:cantSplit w:val="0"/>
          <w:trHeight w:val="176.98242187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Consultant Supervision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Dr. Julette F. Batara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Contact No. 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09464293595</w:t>
            </w:r>
          </w:p>
        </w:tc>
      </w:tr>
    </w:tbl>
    <w:p w:rsidR="00000000" w:rsidDel="00000000" w:rsidP="00000000" w:rsidRDefault="00000000" w:rsidRPr="00000000" w14:paraId="00000018">
      <w:pPr>
        <w:spacing w:after="0" w:line="24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u w:val="single"/>
          <w:rtl w:val="0"/>
        </w:rPr>
        <w:t xml:space="preserve">COMPREHENSIVE NEURO-ONCOLOGY ENDORSEMENT FORM </w:t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center"/>
        <w:rPr>
          <w:rFonts w:ascii="Arial" w:cs="Arial" w:eastAsia="Arial" w:hAnsi="Arial"/>
          <w:sz w:val="20"/>
          <w:szCs w:val="20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Height 145cm; Weight 55 kg; BSA 1.46 m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93"/>
        <w:tblGridChange w:id="0">
          <w:tblGrid>
            <w:gridCol w:w="9593"/>
          </w:tblGrid>
        </w:tblGridChange>
      </w:tblGrid>
      <w:tr>
        <w:trPr>
          <w:cantSplit w:val="0"/>
          <w:trHeight w:val="49.98046875" w:hRule="atLeast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Assessment </w:t>
            </w:r>
          </w:p>
        </w:tc>
      </w:tr>
    </w:tbl>
    <w:p w:rsidR="00000000" w:rsidDel="00000000" w:rsidP="00000000" w:rsidRDefault="00000000" w:rsidRPr="00000000" w14:paraId="0000001E">
      <w:pPr>
        <w:spacing w:after="0" w:line="240" w:lineRule="auto"/>
        <w:rPr>
          <w:rFonts w:ascii="Arial" w:cs="Arial" w:eastAsia="Arial" w:hAnsi="Arial"/>
          <w:b w:val="1"/>
          <w:bCs w:val="1"/>
          <w:color w:val="212529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Multiple intracranial SOLs, L thalamic and L parietal periventricular white matter, CNS Lymphoma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— s/p Left parietal burrhole, IGS needle biopsy (3/11/26, PGH NSS)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Breast CA, left with t/c metastasis (Brain, Lung, Thyroid)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— s/p Mastectomy left (2013)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Thyroid Nodules, Bilateral, TIRADS 1-4, t/c metastatic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Subclinical Hypothyroidism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Dyslipidemia</w:t>
      </w:r>
    </w:p>
    <w:p w:rsidR="00000000" w:rsidDel="00000000" w:rsidP="00000000" w:rsidRDefault="00000000" w:rsidRPr="00000000" w14:paraId="00000026">
      <w:pPr>
        <w:spacing w:after="0" w:line="240" w:lineRule="auto"/>
        <w:ind w:firstLine="720"/>
        <w:jc w:val="both"/>
        <w:rPr>
          <w:rFonts w:ascii="Arial" w:cs="Arial" w:eastAsia="Arial" w:hAnsi="Arial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93"/>
        <w:tblGridChange w:id="0">
          <w:tblGrid>
            <w:gridCol w:w="959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Comprehensive Management Plan</w:t>
            </w:r>
          </w:p>
        </w:tc>
      </w:tr>
    </w:tbl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General plan: </w:t>
        <w:tab/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For induction chemotherapy with Rituximab and High-Dose Methotrexate every 2 weeks for 6-8 cycles until with complete response then for every 4 weeks for 6 more cycles as consolidation therapy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Chemotherapy schedule:</w:t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Induction phase</w:t>
      </w:r>
    </w:p>
    <w:p w:rsidR="00000000" w:rsidDel="00000000" w:rsidP="00000000" w:rsidRDefault="00000000" w:rsidRPr="00000000" w14:paraId="00000030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76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95"/>
        <w:gridCol w:w="2055"/>
        <w:gridCol w:w="1620"/>
        <w:gridCol w:w="2880"/>
        <w:tblGridChange w:id="0">
          <w:tblGrid>
            <w:gridCol w:w="1095"/>
            <w:gridCol w:w="2055"/>
            <w:gridCol w:w="162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Cycle</w:t>
            </w:r>
          </w:p>
        </w:tc>
        <w:tc>
          <w:tcPr>
            <w:shd w:fill="d9d9d9" w:val="clear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Chemo Agent</w:t>
            </w:r>
          </w:p>
        </w:tc>
        <w:tc>
          <w:tcPr>
            <w:shd w:fill="d9d9d9" w:val="clear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Days of Administration</w:t>
            </w:r>
          </w:p>
        </w:tc>
        <w:tc>
          <w:tcPr>
            <w:shd w:fill="d9d9d9" w:val="clear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Dates of Administration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vMerge w:val="restart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Merge w:val="restart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Rituximab</w:t>
            </w:r>
          </w:p>
        </w:tc>
        <w:tc>
          <w:tcPr>
            <w:vMerge w:val="restart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Merge w:val="restart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April 19, 2026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vMerge w:val="continue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vMerge w:val="continue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Methotrexate</w:t>
            </w:r>
          </w:p>
        </w:tc>
        <w:tc>
          <w:tcPr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April 18, 2026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vMerge w:val="restart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Merge w:val="restart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Rituximab</w:t>
            </w:r>
          </w:p>
        </w:tc>
        <w:tc>
          <w:tcPr>
            <w:vMerge w:val="restart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Merge w:val="restart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vMerge w:val="continue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vMerge w:val="continue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Methotrexate</w:t>
            </w:r>
          </w:p>
        </w:tc>
        <w:tc>
          <w:tcPr>
            <w:vMerge w:val="restart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Merge w:val="restart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vMerge w:val="continue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vMerge w:val="restart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Merge w:val="restart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Rituximab</w:t>
            </w:r>
          </w:p>
        </w:tc>
        <w:tc>
          <w:tcPr>
            <w:vMerge w:val="restart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Merge w:val="restart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vMerge w:val="continue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vMerge w:val="continue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Methotrexate</w:t>
            </w:r>
          </w:p>
        </w:tc>
        <w:tc>
          <w:tcPr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vMerge w:val="restart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Rituximab</w:t>
            </w:r>
          </w:p>
        </w:tc>
        <w:tc>
          <w:tcPr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vMerge w:val="continue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Methotrexate</w:t>
            </w:r>
          </w:p>
        </w:tc>
        <w:tc>
          <w:tcPr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vMerge w:val="restart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Rituximab</w:t>
            </w:r>
          </w:p>
        </w:tc>
        <w:tc>
          <w:tcPr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vMerge w:val="continue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Methotrexate</w:t>
            </w:r>
          </w:p>
        </w:tc>
        <w:tc>
          <w:tcPr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vMerge w:val="restart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Rituximab</w:t>
            </w:r>
          </w:p>
        </w:tc>
        <w:tc>
          <w:tcPr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vMerge w:val="continue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Methotrexate</w:t>
            </w:r>
          </w:p>
        </w:tc>
        <w:tc>
          <w:tcPr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Consolidation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76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95"/>
        <w:gridCol w:w="2055"/>
        <w:gridCol w:w="1620"/>
        <w:gridCol w:w="2880"/>
        <w:tblGridChange w:id="0">
          <w:tblGrid>
            <w:gridCol w:w="1095"/>
            <w:gridCol w:w="2055"/>
            <w:gridCol w:w="162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Cycle</w:t>
            </w:r>
          </w:p>
        </w:tc>
        <w:tc>
          <w:tcPr>
            <w:shd w:fill="d9d9d9" w:val="clear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Chemo Agent</w:t>
            </w:r>
          </w:p>
        </w:tc>
        <w:tc>
          <w:tcPr>
            <w:shd w:fill="d9d9d9" w:val="clear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Days of Administration</w:t>
            </w:r>
          </w:p>
        </w:tc>
        <w:tc>
          <w:tcPr>
            <w:shd w:fill="d9d9d9" w:val="clear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Dates of Administration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vMerge w:val="restart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Merge w:val="restart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Rituximab</w:t>
            </w:r>
          </w:p>
        </w:tc>
        <w:tc>
          <w:tcPr>
            <w:vMerge w:val="restart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Merge w:val="restart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vMerge w:val="continue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vMerge w:val="continue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Methotrexate</w:t>
            </w:r>
          </w:p>
        </w:tc>
        <w:tc>
          <w:tcPr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vMerge w:val="restart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Merge w:val="restart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Rituximab</w:t>
            </w:r>
          </w:p>
        </w:tc>
        <w:tc>
          <w:tcPr>
            <w:vMerge w:val="restart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Merge w:val="restart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vMerge w:val="continue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vMerge w:val="continue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Methotrexate</w:t>
            </w:r>
          </w:p>
        </w:tc>
        <w:tc>
          <w:tcPr>
            <w:vMerge w:val="restart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Merge w:val="restart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vMerge w:val="continue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vMerge w:val="restart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Merge w:val="restart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Rituximab</w:t>
            </w:r>
          </w:p>
        </w:tc>
        <w:tc>
          <w:tcPr>
            <w:vMerge w:val="restart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Merge w:val="restart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vMerge w:val="continue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vMerge w:val="continue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Methotrexate</w:t>
            </w:r>
          </w:p>
        </w:tc>
        <w:tc>
          <w:tcPr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vMerge w:val="restart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Rituximab</w:t>
            </w:r>
          </w:p>
        </w:tc>
        <w:tc>
          <w:tcPr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vMerge w:val="continue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Methotrexate</w:t>
            </w:r>
          </w:p>
        </w:tc>
        <w:tc>
          <w:tcPr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vMerge w:val="restart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Rituximab</w:t>
            </w:r>
          </w:p>
        </w:tc>
        <w:tc>
          <w:tcPr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vMerge w:val="continue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Methotrexate</w:t>
            </w:r>
          </w:p>
        </w:tc>
        <w:tc>
          <w:tcPr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vMerge w:val="restart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Rituximab</w:t>
            </w:r>
          </w:p>
        </w:tc>
        <w:tc>
          <w:tcPr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vMerge w:val="continue"/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Methotrexate</w:t>
            </w:r>
          </w:p>
        </w:tc>
        <w:tc>
          <w:tcPr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Mar>
              <w:top w:w="-72.0" w:type="dxa"/>
              <w:left w:w="-72.0" w:type="dxa"/>
              <w:bottom w:w="-72.0" w:type="dxa"/>
              <w:right w:w="-72.0" w:type="dxa"/>
            </w:tcMar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Chemotherapy drugs:</w:t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21376871"/>
        <w:tag w:val="goog_rdk_0"/>
      </w:sdtPr>
      <w:sdtContent>
        <w:tbl>
          <w:tblPr>
            <w:tblStyle w:val="Table6"/>
            <w:tblW w:w="9600.0" w:type="dxa"/>
            <w:jc w:val="left"/>
            <w:tblInd w:w="3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20"/>
            <w:gridCol w:w="1725"/>
            <w:gridCol w:w="1545"/>
            <w:gridCol w:w="105"/>
            <w:gridCol w:w="2610"/>
            <w:gridCol w:w="1995"/>
            <w:tblGridChange w:id="0">
              <w:tblGrid>
                <w:gridCol w:w="1620"/>
                <w:gridCol w:w="1725"/>
                <w:gridCol w:w="1545"/>
                <w:gridCol w:w="105"/>
                <w:gridCol w:w="2610"/>
                <w:gridCol w:w="1995"/>
              </w:tblGrid>
            </w:tblGridChange>
          </w:tblGrid>
          <w:tr>
            <w:trPr>
              <w:cantSplit w:val="0"/>
              <w:trHeight w:val="322.96875" w:hRule="atLeast"/>
              <w:tblHeader w:val="0"/>
            </w:trPr>
            <w:tc>
              <w:tcPr>
                <w:shd w:fill="cccccc" w:val="clear"/>
                <w:tcMar>
                  <w:top w:w="-44.64" w:type="dxa"/>
                  <w:left w:w="-44.64" w:type="dxa"/>
                  <w:bottom w:w="-44.64" w:type="dxa"/>
                  <w:right w:w="-44.64" w:type="dxa"/>
                </w:tcMar>
                <w:vAlign w:val="center"/>
              </w:tcPr>
              <w:p w:rsidR="00000000" w:rsidDel="00000000" w:rsidP="00000000" w:rsidRDefault="00000000" w:rsidRPr="00000000" w14:paraId="000000C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0"/>
                  </w:rPr>
                  <w:t xml:space="preserve">Drug</w:t>
                </w:r>
              </w:p>
            </w:tc>
            <w:tc>
              <w:tcPr>
                <w:shd w:fill="cccccc" w:val="clear"/>
                <w:tcMar>
                  <w:top w:w="-44.64" w:type="dxa"/>
                  <w:left w:w="-44.64" w:type="dxa"/>
                  <w:bottom w:w="-44.64" w:type="dxa"/>
                  <w:right w:w="-44.64" w:type="dxa"/>
                </w:tcMar>
                <w:vAlign w:val="center"/>
              </w:tcPr>
              <w:p w:rsidR="00000000" w:rsidDel="00000000" w:rsidP="00000000" w:rsidRDefault="00000000" w:rsidRPr="00000000" w14:paraId="000000C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0"/>
                  </w:rPr>
                  <w:t xml:space="preserve">Preparation</w:t>
                </w:r>
              </w:p>
            </w:tc>
            <w:tc>
              <w:tcPr>
                <w:shd w:fill="cccccc" w:val="clear"/>
                <w:tcMar>
                  <w:top w:w="-44.64" w:type="dxa"/>
                  <w:left w:w="-44.64" w:type="dxa"/>
                  <w:bottom w:w="-44.64" w:type="dxa"/>
                  <w:right w:w="-44.64" w:type="dxa"/>
                </w:tcMar>
                <w:vAlign w:val="center"/>
              </w:tcPr>
              <w:p w:rsidR="00000000" w:rsidDel="00000000" w:rsidP="00000000" w:rsidRDefault="00000000" w:rsidRPr="00000000" w14:paraId="000000C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0"/>
                  </w:rPr>
                  <w:t xml:space="preserve">Dose</w:t>
                </w:r>
              </w:p>
            </w:tc>
            <w:tc>
              <w:tcPr>
                <w:gridSpan w:val="2"/>
                <w:shd w:fill="cccccc" w:val="clear"/>
                <w:tcMar>
                  <w:top w:w="-44.64" w:type="dxa"/>
                  <w:left w:w="-44.64" w:type="dxa"/>
                  <w:bottom w:w="-44.64" w:type="dxa"/>
                  <w:right w:w="-44.64" w:type="dxa"/>
                </w:tcMar>
                <w:vAlign w:val="center"/>
              </w:tcPr>
              <w:p w:rsidR="00000000" w:rsidDel="00000000" w:rsidP="00000000" w:rsidRDefault="00000000" w:rsidRPr="00000000" w14:paraId="000000C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0"/>
                  </w:rPr>
                  <w:t xml:space="preserve">Diluent for administration</w:t>
                </w:r>
              </w:p>
            </w:tc>
            <w:tc>
              <w:tcPr>
                <w:shd w:fill="cccccc" w:val="clear"/>
                <w:tcMar>
                  <w:top w:w="-44.64" w:type="dxa"/>
                  <w:left w:w="-44.64" w:type="dxa"/>
                  <w:bottom w:w="-44.64" w:type="dxa"/>
                  <w:right w:w="-44.64" w:type="dxa"/>
                </w:tcMar>
                <w:vAlign w:val="center"/>
              </w:tcPr>
              <w:p w:rsidR="00000000" w:rsidDel="00000000" w:rsidP="00000000" w:rsidRDefault="00000000" w:rsidRPr="00000000" w14:paraId="000000C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0"/>
                  </w:rPr>
                  <w:t xml:space="preserve">Infusion rate</w:t>
                </w:r>
              </w:p>
            </w:tc>
          </w:tr>
          <w:tr>
            <w:trPr>
              <w:cantSplit w:val="0"/>
              <w:trHeight w:val="176.982421875" w:hRule="atLeast"/>
              <w:tblHeader w:val="0"/>
            </w:trPr>
            <w:tc>
              <w:tcPr>
                <w:shd w:fill="auto" w:val="clear"/>
                <w:tcMar>
                  <w:top w:w="-44.64" w:type="dxa"/>
                  <w:left w:w="-44.64" w:type="dxa"/>
                  <w:bottom w:w="-44.64" w:type="dxa"/>
                  <w:right w:w="-44.64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Rituximab</w:t>
                </w:r>
              </w:p>
            </w:tc>
            <w:tc>
              <w:tcPr>
                <w:shd w:fill="auto" w:val="clear"/>
                <w:tcMar>
                  <w:top w:w="-44.64" w:type="dxa"/>
                  <w:left w:w="-44.64" w:type="dxa"/>
                  <w:bottom w:w="-44.64" w:type="dxa"/>
                  <w:right w:w="-44.64" w:type="dxa"/>
                </w:tcMar>
                <w:vAlign w:val="top"/>
              </w:tcPr>
              <w:p w:rsidR="00000000" w:rsidDel="00000000" w:rsidP="00000000" w:rsidRDefault="00000000" w:rsidRPr="00000000" w14:paraId="000000C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500 mg/50 ml</w:t>
                </w:r>
              </w:p>
              <w:p w:rsidR="00000000" w:rsidDel="00000000" w:rsidP="00000000" w:rsidRDefault="00000000" w:rsidRPr="00000000" w14:paraId="000000C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100 mg/10 ml</w:t>
                </w:r>
              </w:p>
            </w:tc>
            <w:tc>
              <w:tcPr>
                <w:shd w:fill="auto" w:val="clear"/>
                <w:tcMar>
                  <w:top w:w="-44.64" w:type="dxa"/>
                  <w:left w:w="-44.64" w:type="dxa"/>
                  <w:bottom w:w="-44.64" w:type="dxa"/>
                  <w:right w:w="-44.64" w:type="dxa"/>
                </w:tcMar>
                <w:vAlign w:val="top"/>
              </w:tcPr>
              <w:p w:rsidR="00000000" w:rsidDel="00000000" w:rsidP="00000000" w:rsidRDefault="00000000" w:rsidRPr="00000000" w14:paraId="000000C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  <w:vertAlign w:val="superscript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375 mg/m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vertAlign w:val="superscript"/>
                    <w:rtl w:val="0"/>
                  </w:rPr>
                  <w:t xml:space="preserve">2</w:t>
                </w:r>
              </w:p>
            </w:tc>
            <w:tc>
              <w:tcPr>
                <w:gridSpan w:val="2"/>
                <w:shd w:fill="auto" w:val="clear"/>
                <w:tcMar>
                  <w:top w:w="-44.64" w:type="dxa"/>
                  <w:left w:w="-44.64" w:type="dxa"/>
                  <w:bottom w:w="-44.64" w:type="dxa"/>
                  <w:right w:w="-44.64" w:type="dxa"/>
                </w:tcMar>
                <w:vAlign w:val="top"/>
              </w:tcPr>
              <w:p w:rsidR="00000000" w:rsidDel="00000000" w:rsidP="00000000" w:rsidRDefault="00000000" w:rsidRPr="00000000" w14:paraId="000000C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500 ml PNSS</w:t>
                </w:r>
              </w:p>
            </w:tc>
            <w:tc>
              <w:tcPr>
                <w:shd w:fill="auto" w:val="clear"/>
                <w:tcMar>
                  <w:top w:w="-44.64" w:type="dxa"/>
                  <w:left w:w="-44.64" w:type="dxa"/>
                  <w:bottom w:w="-44.64" w:type="dxa"/>
                  <w:right w:w="-44.64" w:type="dxa"/>
                </w:tcMar>
                <w:vAlign w:val="top"/>
              </w:tcPr>
              <w:p w:rsidR="00000000" w:rsidDel="00000000" w:rsidP="00000000" w:rsidRDefault="00000000" w:rsidRPr="00000000" w14:paraId="000000C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6 hours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-44.64" w:type="dxa"/>
                  <w:left w:w="-44.64" w:type="dxa"/>
                  <w:bottom w:w="-44.64" w:type="dxa"/>
                  <w:right w:w="-44.64" w:type="dxa"/>
                </w:tcMar>
                <w:vAlign w:val="top"/>
              </w:tcPr>
              <w:p w:rsidR="00000000" w:rsidDel="00000000" w:rsidP="00000000" w:rsidRDefault="00000000" w:rsidRPr="00000000" w14:paraId="000000C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Methotrexate</w:t>
                </w:r>
              </w:p>
            </w:tc>
            <w:tc>
              <w:tcPr>
                <w:shd w:fill="auto" w:val="clear"/>
                <w:tcMar>
                  <w:top w:w="-44.64" w:type="dxa"/>
                  <w:left w:w="-44.64" w:type="dxa"/>
                  <w:bottom w:w="-44.64" w:type="dxa"/>
                  <w:right w:w="-44.64" w:type="dxa"/>
                </w:tcMar>
                <w:vAlign w:val="top"/>
              </w:tcPr>
              <w:p w:rsidR="00000000" w:rsidDel="00000000" w:rsidP="00000000" w:rsidRDefault="00000000" w:rsidRPr="00000000" w14:paraId="000000C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1000 mg/10 ml</w:t>
                </w:r>
              </w:p>
            </w:tc>
            <w:tc>
              <w:tcPr>
                <w:shd w:fill="auto" w:val="clear"/>
                <w:tcMar>
                  <w:top w:w="-44.64" w:type="dxa"/>
                  <w:left w:w="-44.64" w:type="dxa"/>
                  <w:bottom w:w="-44.64" w:type="dxa"/>
                  <w:right w:w="-44.64" w:type="dxa"/>
                </w:tcMar>
                <w:vAlign w:val="top"/>
              </w:tcPr>
              <w:p w:rsidR="00000000" w:rsidDel="00000000" w:rsidP="00000000" w:rsidRDefault="00000000" w:rsidRPr="00000000" w14:paraId="000000C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8,000 mg/m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vertAlign w:val="superscript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  <w:tcMar>
                  <w:top w:w="-44.64" w:type="dxa"/>
                  <w:left w:w="-44.64" w:type="dxa"/>
                  <w:bottom w:w="-44.64" w:type="dxa"/>
                  <w:right w:w="-44.64" w:type="dxa"/>
                </w:tcMar>
                <w:vAlign w:val="top"/>
              </w:tcPr>
              <w:p w:rsidR="00000000" w:rsidDel="00000000" w:rsidP="00000000" w:rsidRDefault="00000000" w:rsidRPr="00000000" w14:paraId="000000D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500 ml PNSS</w:t>
                </w:r>
              </w:p>
            </w:tc>
            <w:tc>
              <w:tcPr>
                <w:shd w:fill="auto" w:val="clear"/>
                <w:tcMar>
                  <w:top w:w="-44.64" w:type="dxa"/>
                  <w:left w:w="-44.64" w:type="dxa"/>
                  <w:bottom w:w="-44.64" w:type="dxa"/>
                  <w:right w:w="-44.64" w:type="dxa"/>
                </w:tcMar>
                <w:vAlign w:val="top"/>
              </w:tcPr>
              <w:p w:rsidR="00000000" w:rsidDel="00000000" w:rsidP="00000000" w:rsidRDefault="00000000" w:rsidRPr="00000000" w14:paraId="000000D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4 hours</w:t>
                </w:r>
              </w:p>
            </w:tc>
          </w:tr>
        </w:tbl>
      </w:sdtContent>
    </w:sdt>
    <w:p w:rsidR="00000000" w:rsidDel="00000000" w:rsidP="00000000" w:rsidRDefault="00000000" w:rsidRPr="00000000" w14:paraId="000000D3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5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93"/>
        <w:tblGridChange w:id="0">
          <w:tblGrid>
            <w:gridCol w:w="959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0D4">
            <w:pP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Chemotherapy Protocol </w:t>
            </w:r>
          </w:p>
        </w:tc>
      </w:tr>
    </w:tbl>
    <w:p w:rsidR="00000000" w:rsidDel="00000000" w:rsidP="00000000" w:rsidRDefault="00000000" w:rsidRPr="00000000" w14:paraId="000000D5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Rituximab protocol</w:t>
      </w:r>
    </w:p>
    <w:tbl>
      <w:tblPr>
        <w:tblStyle w:val="Table8"/>
        <w:tblW w:w="95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0"/>
        <w:gridCol w:w="7275"/>
        <w:tblGridChange w:id="0">
          <w:tblGrid>
            <w:gridCol w:w="2310"/>
            <w:gridCol w:w="727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PRE-CHEMOTHERAPY</w:t>
            </w:r>
          </w:p>
        </w:tc>
        <w:tc>
          <w:tcPr/>
          <w:p w:rsidR="00000000" w:rsidDel="00000000" w:rsidP="00000000" w:rsidRDefault="00000000" w:rsidRPr="00000000" w14:paraId="000000D8">
            <w:pPr>
              <w:numPr>
                <w:ilvl w:val="0"/>
                <w:numId w:val="3"/>
              </w:numPr>
              <w:spacing w:line="240" w:lineRule="auto"/>
              <w:ind w:left="36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Check HBsAg, anti-HBs, anti-HBc, Varicella IgG and pulmonary TB status prior to 1st cycle.</w:t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3"/>
              </w:numPr>
              <w:spacing w:line="240" w:lineRule="auto"/>
              <w:ind w:left="36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Check CBC, AST, ALT prior to each cycle.</w:t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3"/>
              </w:numPr>
              <w:spacing w:line="240" w:lineRule="auto"/>
              <w:ind w:left="360" w:hanging="360"/>
              <w:jc w:val="both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Pre-medications</w:t>
            </w:r>
          </w:p>
          <w:p w:rsidR="00000000" w:rsidDel="00000000" w:rsidP="00000000" w:rsidRDefault="00000000" w:rsidRPr="00000000" w14:paraId="000000DB">
            <w:pPr>
              <w:numPr>
                <w:ilvl w:val="1"/>
                <w:numId w:val="3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Administer Diphenhydramine 50mg SIVP single dose.</w:t>
            </w:r>
          </w:p>
          <w:p w:rsidR="00000000" w:rsidDel="00000000" w:rsidP="00000000" w:rsidRDefault="00000000" w:rsidRPr="00000000" w14:paraId="000000DC">
            <w:pPr>
              <w:numPr>
                <w:ilvl w:val="1"/>
                <w:numId w:val="3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Administer Paracetamol 1g IV infused over 15 minutes, single dose</w:t>
            </w:r>
          </w:p>
          <w:p w:rsidR="00000000" w:rsidDel="00000000" w:rsidP="00000000" w:rsidRDefault="00000000" w:rsidRPr="00000000" w14:paraId="000000DD">
            <w:pPr>
              <w:numPr>
                <w:ilvl w:val="1"/>
                <w:numId w:val="3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Administer Hydrocortisone 500mg IV infused over 10 minutes, single dose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CHEMOTHERAPY</w:t>
            </w:r>
          </w:p>
        </w:tc>
        <w:tc>
          <w:tcPr/>
          <w:p w:rsidR="00000000" w:rsidDel="00000000" w:rsidP="00000000" w:rsidRDefault="00000000" w:rsidRPr="00000000" w14:paraId="000000DF">
            <w:pPr>
              <w:numPr>
                <w:ilvl w:val="0"/>
                <w:numId w:val="4"/>
              </w:numPr>
              <w:spacing w:line="240" w:lineRule="auto"/>
              <w:ind w:left="36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Administer Rituximab 550 mg in enough PNSS to make 500mL via infusion pump x 50cc/hour for the first 30 minutes, then increase by 50cc/hr every 30 minutes to maximum 150cc/hr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numPr>
                <w:ilvl w:val="0"/>
                <w:numId w:val="4"/>
              </w:numPr>
              <w:spacing w:line="240" w:lineRule="auto"/>
              <w:ind w:left="36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Monitor VS every 30 min during chemotherapy</w:t>
              <w:tab/>
              <w:tab/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POST-CHEMOTHERAPY</w:t>
            </w:r>
          </w:p>
        </w:tc>
        <w:tc>
          <w:tcPr/>
          <w:p w:rsidR="00000000" w:rsidDel="00000000" w:rsidP="00000000" w:rsidRDefault="00000000" w:rsidRPr="00000000" w14:paraId="000000E2">
            <w:pPr>
              <w:numPr>
                <w:ilvl w:val="0"/>
                <w:numId w:val="4"/>
              </w:numPr>
              <w:spacing w:line="240" w:lineRule="auto"/>
              <w:ind w:left="36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Watch out for hyperthermia, hyper and hypotension, rashes fever and any untoward reaction.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Methotrexate protocol</w:t>
      </w:r>
    </w:p>
    <w:tbl>
      <w:tblPr>
        <w:tblStyle w:val="Table9"/>
        <w:tblW w:w="95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0"/>
        <w:gridCol w:w="7275"/>
        <w:tblGridChange w:id="0">
          <w:tblGrid>
            <w:gridCol w:w="2310"/>
            <w:gridCol w:w="727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PRE-CHEMOTHERAPY</w:t>
            </w:r>
          </w:p>
        </w:tc>
        <w:tc>
          <w:tcPr/>
          <w:p w:rsidR="00000000" w:rsidDel="00000000" w:rsidP="00000000" w:rsidRDefault="00000000" w:rsidRPr="00000000" w14:paraId="000000E6">
            <w:pPr>
              <w:numPr>
                <w:ilvl w:val="0"/>
                <w:numId w:val="3"/>
              </w:numPr>
              <w:spacing w:line="240" w:lineRule="auto"/>
              <w:ind w:left="36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 CBC, AST, ALT, Creatinine, Na, K, Mg, Ca, albumin, CXR and urinalysis prior to each cycle.</w:t>
            </w:r>
          </w:p>
          <w:p w:rsidR="00000000" w:rsidDel="00000000" w:rsidP="00000000" w:rsidRDefault="00000000" w:rsidRPr="00000000" w14:paraId="000000E7">
            <w:pPr>
              <w:numPr>
                <w:ilvl w:val="0"/>
                <w:numId w:val="3"/>
              </w:numPr>
              <w:spacing w:line="240" w:lineRule="auto"/>
              <w:ind w:left="36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Start pre-hydration:</w:t>
            </w:r>
          </w:p>
          <w:p w:rsidR="00000000" w:rsidDel="00000000" w:rsidP="00000000" w:rsidRDefault="00000000" w:rsidRPr="00000000" w14:paraId="000000E8">
            <w:pPr>
              <w:numPr>
                <w:ilvl w:val="1"/>
                <w:numId w:val="3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62b36"/>
                <w:sz w:val="20"/>
                <w:szCs w:val="20"/>
                <w:rtl w:val="0"/>
              </w:rPr>
              <w:t xml:space="preserve">Hook 1L pNSS + 150 mEqs sodium bicarbonate + 30 mEqs potassium chloride to run at 250cc/hr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numPr>
                <w:ilvl w:val="0"/>
                <w:numId w:val="3"/>
              </w:numPr>
              <w:spacing w:line="240" w:lineRule="auto"/>
              <w:ind w:left="36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Begin monitoring urine output and urine pH hourly and record.</w:t>
            </w:r>
          </w:p>
          <w:p w:rsidR="00000000" w:rsidDel="00000000" w:rsidP="00000000" w:rsidRDefault="00000000" w:rsidRPr="00000000" w14:paraId="000000EA">
            <w:pPr>
              <w:numPr>
                <w:ilvl w:val="0"/>
                <w:numId w:val="3"/>
              </w:numPr>
              <w:spacing w:line="240" w:lineRule="auto"/>
              <w:ind w:left="360" w:hanging="360"/>
              <w:jc w:val="both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sdt>
              <w:sdtPr>
                <w:id w:val="256024278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Once urine pH ≥ 7.5 AND urine output ≥ 100cc for 4 hours, give pre-medications:</w:t>
                </w:r>
              </w:sdtContent>
            </w:sdt>
          </w:p>
          <w:p w:rsidR="00000000" w:rsidDel="00000000" w:rsidP="00000000" w:rsidRDefault="00000000" w:rsidRPr="00000000" w14:paraId="000000EB">
            <w:pPr>
              <w:numPr>
                <w:ilvl w:val="1"/>
                <w:numId w:val="3"/>
              </w:numPr>
              <w:spacing w:line="240" w:lineRule="auto"/>
              <w:ind w:left="1440" w:hanging="360"/>
              <w:jc w:val="both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Ondansetron 16 mg IV x single dose</w:t>
            </w:r>
          </w:p>
          <w:p w:rsidR="00000000" w:rsidDel="00000000" w:rsidP="00000000" w:rsidRDefault="00000000" w:rsidRPr="00000000" w14:paraId="000000EC">
            <w:pPr>
              <w:numPr>
                <w:ilvl w:val="1"/>
                <w:numId w:val="3"/>
              </w:numPr>
              <w:spacing w:line="240" w:lineRule="auto"/>
              <w:ind w:left="1440" w:hanging="360"/>
              <w:jc w:val="both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Paracetamol 600 mg IV x single dose</w:t>
            </w:r>
          </w:p>
          <w:p w:rsidR="00000000" w:rsidDel="00000000" w:rsidP="00000000" w:rsidRDefault="00000000" w:rsidRPr="00000000" w14:paraId="000000ED">
            <w:pPr>
              <w:numPr>
                <w:ilvl w:val="0"/>
                <w:numId w:val="3"/>
              </w:numPr>
              <w:spacing w:line="240" w:lineRule="auto"/>
              <w:ind w:left="36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62b36"/>
                <w:sz w:val="20"/>
                <w:szCs w:val="20"/>
                <w:rtl w:val="0"/>
              </w:rPr>
              <w:t xml:space="preserve">Hook 50 mEqs sodium bicarbonate drip x 10 minutes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CHEMOTHERAPY</w:t>
            </w:r>
          </w:p>
          <w:p w:rsidR="00000000" w:rsidDel="00000000" w:rsidP="00000000" w:rsidRDefault="00000000" w:rsidRPr="00000000" w14:paraId="000000EF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numPr>
                <w:ilvl w:val="0"/>
                <w:numId w:val="4"/>
              </w:numPr>
              <w:spacing w:line="240" w:lineRule="auto"/>
              <w:ind w:left="360" w:hanging="360"/>
              <w:jc w:val="both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Start sodium bicarbonate 650 mg/tab, 8 tabs while ongoing methotrexate infusion.</w:t>
            </w:r>
          </w:p>
          <w:p w:rsidR="00000000" w:rsidDel="00000000" w:rsidP="00000000" w:rsidRDefault="00000000" w:rsidRPr="00000000" w14:paraId="000000F1">
            <w:pPr>
              <w:numPr>
                <w:ilvl w:val="0"/>
                <w:numId w:val="4"/>
              </w:numPr>
              <w:spacing w:line="240" w:lineRule="auto"/>
              <w:ind w:left="36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Hook methotrexate 11g (8g/m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) in enough pNSS to make at least 500cc, to run at 125cc/hr</w:t>
            </w:r>
          </w:p>
          <w:p w:rsidR="00000000" w:rsidDel="00000000" w:rsidP="00000000" w:rsidRDefault="00000000" w:rsidRPr="00000000" w14:paraId="000000F2">
            <w:pPr>
              <w:numPr>
                <w:ilvl w:val="0"/>
                <w:numId w:val="4"/>
              </w:numPr>
              <w:spacing w:line="240" w:lineRule="auto"/>
              <w:ind w:left="360" w:hanging="360"/>
              <w:jc w:val="both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Monitor VS, urine output and urine pH every hour.</w:t>
            </w:r>
          </w:p>
          <w:p w:rsidR="00000000" w:rsidDel="00000000" w:rsidP="00000000" w:rsidRDefault="00000000" w:rsidRPr="00000000" w14:paraId="000000F3">
            <w:pPr>
              <w:numPr>
                <w:ilvl w:val="1"/>
                <w:numId w:val="4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sdt>
              <w:sdtPr>
                <w:id w:val="1852382191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Maintain urine output ≥ 100 ml/hr and urine pH ≥ 7.5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POST-CHEMOTHERAPY</w:t>
            </w:r>
          </w:p>
        </w:tc>
        <w:tc>
          <w:tcPr/>
          <w:p w:rsidR="00000000" w:rsidDel="00000000" w:rsidP="00000000" w:rsidRDefault="00000000" w:rsidRPr="00000000" w14:paraId="000000F5">
            <w:pPr>
              <w:numPr>
                <w:ilvl w:val="0"/>
                <w:numId w:val="2"/>
              </w:numPr>
              <w:spacing w:line="240" w:lineRule="auto"/>
              <w:ind w:left="283.4645669291342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Once methotrexate consumed hook IVF: 1L pNSS + 150 mEqs sodium bicarbonate + 30 mEqs potassium chloride to run at 150cc/hr</w:t>
            </w:r>
          </w:p>
          <w:p w:rsidR="00000000" w:rsidDel="00000000" w:rsidP="00000000" w:rsidRDefault="00000000" w:rsidRPr="00000000" w14:paraId="000000F6">
            <w:pPr>
              <w:numPr>
                <w:ilvl w:val="0"/>
                <w:numId w:val="2"/>
              </w:numPr>
              <w:ind w:left="283.4645669291342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DISCONTINUE oral sodium bicarbonate</w:t>
            </w:r>
          </w:p>
          <w:p w:rsidR="00000000" w:rsidDel="00000000" w:rsidP="00000000" w:rsidRDefault="00000000" w:rsidRPr="00000000" w14:paraId="000000F7">
            <w:pPr>
              <w:numPr>
                <w:ilvl w:val="0"/>
                <w:numId w:val="2"/>
              </w:numPr>
              <w:spacing w:line="240" w:lineRule="auto"/>
              <w:ind w:left="36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Monitor NVSQ1, urine output and urine pH q1.</w:t>
            </w:r>
          </w:p>
          <w:p w:rsidR="00000000" w:rsidDel="00000000" w:rsidP="00000000" w:rsidRDefault="00000000" w:rsidRPr="00000000" w14:paraId="000000F8">
            <w:pPr>
              <w:numPr>
                <w:ilvl w:val="1"/>
                <w:numId w:val="2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1626078948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Maintain urine output ≥ 100 ml/hr and urine pH ≥ 7.5 </w:t>
                </w:r>
              </w:sdtContent>
            </w:sdt>
          </w:p>
          <w:p w:rsidR="00000000" w:rsidDel="00000000" w:rsidP="00000000" w:rsidRDefault="00000000" w:rsidRPr="00000000" w14:paraId="000000F9">
            <w:pPr>
              <w:numPr>
                <w:ilvl w:val="0"/>
                <w:numId w:val="2"/>
              </w:numPr>
              <w:spacing w:line="240" w:lineRule="auto"/>
              <w:ind w:left="360" w:hanging="360"/>
              <w:jc w:val="both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 hours after the start of methotrexate infusion</w:t>
            </w:r>
          </w:p>
          <w:p w:rsidR="00000000" w:rsidDel="00000000" w:rsidP="00000000" w:rsidRDefault="00000000" w:rsidRPr="00000000" w14:paraId="000000FA">
            <w:pPr>
              <w:numPr>
                <w:ilvl w:val="1"/>
                <w:numId w:val="2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Send for methotrexate assay (3cc serum covered in carbon, sent in ice) to SLMC-QC (# (02) 7230301 loc 4137)</w:t>
            </w:r>
          </w:p>
          <w:p w:rsidR="00000000" w:rsidDel="00000000" w:rsidP="00000000" w:rsidRDefault="00000000" w:rsidRPr="00000000" w14:paraId="000000FB">
            <w:pPr>
              <w:numPr>
                <w:ilvl w:val="1"/>
                <w:numId w:val="2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Start calcium folinate 100mg IV every 6 hours</w:t>
            </w:r>
          </w:p>
        </w:tc>
      </w:tr>
    </w:tbl>
    <w:p w:rsidR="00000000" w:rsidDel="00000000" w:rsidP="00000000" w:rsidRDefault="00000000" w:rsidRPr="00000000" w14:paraId="000000FC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171857838"/>
        <w:tag w:val="goog_rdk_4"/>
      </w:sdtPr>
      <w:sdtContent>
        <w:tbl>
          <w:tblPr>
            <w:tblStyle w:val="Table10"/>
            <w:tblW w:w="9352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400"/>
          </w:tblPr>
          <w:tblGrid>
            <w:gridCol w:w="4106"/>
            <w:gridCol w:w="5246"/>
            <w:tblGridChange w:id="0">
              <w:tblGrid>
                <w:gridCol w:w="4106"/>
                <w:gridCol w:w="524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Prepared by:</w:t>
                </w:r>
              </w:p>
              <w:p w:rsidR="00000000" w:rsidDel="00000000" w:rsidP="00000000" w:rsidRDefault="00000000" w:rsidRPr="00000000" w14:paraId="000000F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drawing>
                    <wp:anchor allowOverlap="1" behindDoc="1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361950</wp:posOffset>
                      </wp:positionH>
                      <wp:positionV relativeFrom="paragraph">
                        <wp:posOffset>149237</wp:posOffset>
                      </wp:positionV>
                      <wp:extent cx="1549718" cy="637768"/>
                      <wp:effectExtent b="0" l="0" r="0" t="0"/>
                      <wp:wrapNone/>
                      <wp:docPr id="24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49718" cy="637768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</w:p>
              <w:p w:rsidR="00000000" w:rsidDel="00000000" w:rsidP="00000000" w:rsidRDefault="00000000" w:rsidRPr="00000000" w14:paraId="000000FF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0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1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Elizer M. Montemayor, MD, FPNA</w:t>
                </w:r>
              </w:p>
              <w:p w:rsidR="00000000" w:rsidDel="00000000" w:rsidP="00000000" w:rsidRDefault="00000000" w:rsidRPr="00000000" w14:paraId="00000102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Neuro-Oncology Fellow</w:t>
                </w:r>
              </w:p>
              <w:p w:rsidR="00000000" w:rsidDel="00000000" w:rsidP="00000000" w:rsidRDefault="00000000" w:rsidRPr="00000000" w14:paraId="00000103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Division of Adult Neurology</w:t>
                </w:r>
              </w:p>
              <w:p w:rsidR="00000000" w:rsidDel="00000000" w:rsidP="00000000" w:rsidRDefault="00000000" w:rsidRPr="00000000" w14:paraId="00000104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Department of Neurosciences, UP-PGH</w:t>
                </w:r>
              </w:p>
              <w:p w:rsidR="00000000" w:rsidDel="00000000" w:rsidP="00000000" w:rsidRDefault="00000000" w:rsidRPr="00000000" w14:paraId="0000010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Approved by:</w:t>
                </w:r>
                <w:r w:rsidDel="00000000" w:rsidR="00000000" w:rsidRPr="00000000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838200</wp:posOffset>
                      </wp:positionH>
                      <wp:positionV relativeFrom="paragraph">
                        <wp:posOffset>179690</wp:posOffset>
                      </wp:positionV>
                      <wp:extent cx="1319213" cy="864312"/>
                      <wp:effectExtent b="0" l="0" r="0" t="0"/>
                      <wp:wrapNone/>
                      <wp:docPr id="23" name="image4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jpg"/>
                              <pic:cNvPicPr preferRelativeResize="0"/>
                            </pic:nvPicPr>
                            <pic:blipFill>
                              <a:blip r:embed="rId1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19213" cy="86431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</w:p>
              <w:p w:rsidR="00000000" w:rsidDel="00000000" w:rsidP="00000000" w:rsidRDefault="00000000" w:rsidRPr="00000000" w14:paraId="0000010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A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Julette Marie F. Batara, MD, FPNA</w:t>
                </w:r>
              </w:p>
              <w:p w:rsidR="00000000" w:rsidDel="00000000" w:rsidP="00000000" w:rsidRDefault="00000000" w:rsidRPr="00000000" w14:paraId="0000010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Neuro-Oncology Consultant</w:t>
                </w:r>
              </w:p>
              <w:p w:rsidR="00000000" w:rsidDel="00000000" w:rsidP="00000000" w:rsidRDefault="00000000" w:rsidRPr="00000000" w14:paraId="0000010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Division of Adult Neurology</w:t>
                </w:r>
              </w:p>
              <w:p w:rsidR="00000000" w:rsidDel="00000000" w:rsidP="00000000" w:rsidRDefault="00000000" w:rsidRPr="00000000" w14:paraId="0000010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Department of Neurosciences, UP-PGH</w:t>
                </w:r>
              </w:p>
            </w:tc>
          </w:tr>
        </w:tbl>
      </w:sdtContent>
    </w:sdt>
    <w:p w:rsidR="00000000" w:rsidDel="00000000" w:rsidP="00000000" w:rsidRDefault="00000000" w:rsidRPr="00000000" w14:paraId="0000010F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9" w:w="11907" w:orient="portrait"/>
      <w:pgMar w:bottom="1296" w:top="1296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2">
    <w:pPr>
      <w:keepNext w:val="0"/>
      <w:keepLines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Offering Chemotherapy to the least Fortunate Filipinos…</w:t>
      <w:tab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Neuro-Oncology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0">
    <w:pPr>
      <w:tabs>
        <w:tab w:val="left" w:leader="none" w:pos="737"/>
        <w:tab w:val="center" w:leader="none" w:pos="4801"/>
      </w:tabs>
      <w:spacing w:after="0" w:line="240" w:lineRule="auto"/>
      <w:rPr>
        <w:rFonts w:ascii="Arial" w:cs="Arial" w:eastAsia="Arial" w:hAnsi="Arial"/>
        <w:sz w:val="8"/>
        <w:szCs w:val="8"/>
      </w:rPr>
    </w:pPr>
    <w:r w:rsidDel="00000000" w:rsidR="00000000" w:rsidRPr="00000000">
      <w:rPr>
        <w:rFonts w:ascii="Arial" w:cs="Arial" w:eastAsia="Arial" w:hAnsi="Arial"/>
        <w:b w:val="1"/>
        <w:bCs w:val="1"/>
        <w:sz w:val="18"/>
        <w:szCs w:val="18"/>
        <w:rtl w:val="0"/>
      </w:rPr>
      <w:tab/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jpg"/><Relationship Id="rId12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aieG+7cqq07nsVKA2wzi9ubJcQ==">CgMxLjAaHwoBMBIaChgICVIUChJ0YWJsZS41cWI4ZmtmNzI3aGsaJAoBMRIfCh0IB0IZCgVBcmlhbBIQQXJpYWwgVW5pY29kZSBNUxokCgEyEh8KHQgHQhkKBUFyaWFsEhBBcmlhbCBVbmljb2RlIE1TGiQKATMSHwodCAdCGQoFQXJpYWwSEEFyaWFsIFVuaWNvZGUgTVMaHwoBNBIaChgICVIUChJ0YWJsZS44c3dhMWl3aGY3MWU4AHIhMTdFTUR4X0lrZk1kNk9hME5hYVlkY0o3N0dKZnZNS0t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