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41EA" w:rsidRPr="00B96CC3" w:rsidRDefault="00812FFE" w:rsidP="00F760BB">
      <w:pPr>
        <w:rPr>
          <w:rFonts w:ascii="Calibri" w:hAnsi="Calibri" w:cs="Calibri"/>
          <w:b/>
          <w:sz w:val="32"/>
          <w:szCs w:val="32"/>
        </w:rPr>
      </w:pPr>
      <w:r w:rsidRPr="00B96CC3">
        <w:rPr>
          <w:rFonts w:ascii="Calibri" w:hAnsi="Calibri" w:cs="Calibri"/>
          <w:b/>
          <w:sz w:val="32"/>
          <w:szCs w:val="32"/>
        </w:rPr>
        <w:t>Daphne Jackson T</w:t>
      </w:r>
      <w:r w:rsidR="00A525CE">
        <w:rPr>
          <w:rFonts w:ascii="Calibri" w:hAnsi="Calibri" w:cs="Calibri"/>
          <w:b/>
          <w:sz w:val="32"/>
          <w:szCs w:val="32"/>
        </w:rPr>
        <w:t>rust Fellowship application, Jan</w:t>
      </w:r>
      <w:r w:rsidRPr="00B96CC3">
        <w:rPr>
          <w:rFonts w:ascii="Calibri" w:hAnsi="Calibri" w:cs="Calibri"/>
          <w:b/>
          <w:sz w:val="32"/>
          <w:szCs w:val="32"/>
        </w:rPr>
        <w:t xml:space="preserve"> 2018</w:t>
      </w:r>
    </w:p>
    <w:p w:rsidR="000341EA" w:rsidRPr="00B96CC3" w:rsidRDefault="000341EA">
      <w:pPr>
        <w:pStyle w:val="BodyA"/>
        <w:rPr>
          <w:rFonts w:ascii="Calibri" w:eastAsia="Calibri" w:hAnsi="Calibri" w:cs="Calibri"/>
          <w:sz w:val="24"/>
          <w:szCs w:val="24"/>
        </w:rPr>
      </w:pPr>
    </w:p>
    <w:p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Applicant:</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8"/>
          <w:szCs w:val="28"/>
        </w:rPr>
        <w:t>Dr. Elizabeth Hughes</w:t>
      </w:r>
    </w:p>
    <w:p w:rsidR="000341EA" w:rsidRPr="00B96CC3" w:rsidRDefault="000341EA">
      <w:pPr>
        <w:pStyle w:val="BodyA"/>
        <w:rPr>
          <w:rFonts w:ascii="Calibri" w:eastAsia="Calibri" w:hAnsi="Calibri" w:cs="Calibri"/>
          <w:sz w:val="24"/>
          <w:szCs w:val="24"/>
        </w:rPr>
      </w:pPr>
    </w:p>
    <w:p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Supervisor:</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4"/>
          <w:szCs w:val="24"/>
        </w:rPr>
        <w:tab/>
      </w:r>
      <w:r w:rsidRPr="00B96CC3">
        <w:rPr>
          <w:rFonts w:ascii="Calibri" w:eastAsia="Calibri" w:hAnsi="Calibri" w:cs="Calibri"/>
          <w:sz w:val="28"/>
          <w:szCs w:val="28"/>
        </w:rPr>
        <w:t>Dr. Edward Wallace</w:t>
      </w:r>
    </w:p>
    <w:p w:rsidR="000341EA" w:rsidRPr="00B96CC3" w:rsidRDefault="000341EA">
      <w:pPr>
        <w:pStyle w:val="BodyA"/>
        <w:rPr>
          <w:rFonts w:ascii="Calibri" w:eastAsia="Calibri" w:hAnsi="Calibri" w:cs="Calibri"/>
          <w:sz w:val="24"/>
          <w:szCs w:val="24"/>
        </w:rPr>
      </w:pPr>
    </w:p>
    <w:p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Host Organization:</w:t>
      </w:r>
      <w:r w:rsidRPr="00B96CC3">
        <w:rPr>
          <w:rFonts w:ascii="Calibri" w:eastAsia="Calibri" w:hAnsi="Calibri" w:cs="Calibri"/>
          <w:sz w:val="24"/>
          <w:szCs w:val="24"/>
        </w:rPr>
        <w:t xml:space="preserve"> </w:t>
      </w:r>
      <w:r w:rsidRPr="00B96CC3">
        <w:rPr>
          <w:rFonts w:ascii="Calibri" w:eastAsia="Calibri" w:hAnsi="Calibri" w:cs="Calibri"/>
          <w:sz w:val="24"/>
          <w:szCs w:val="24"/>
        </w:rPr>
        <w:tab/>
      </w:r>
      <w:r w:rsidRPr="00B96CC3">
        <w:rPr>
          <w:rFonts w:ascii="Calibri" w:eastAsia="Calibri" w:hAnsi="Calibri" w:cs="Calibri"/>
          <w:sz w:val="28"/>
          <w:szCs w:val="28"/>
        </w:rPr>
        <w:t>Institute for Cell Biology, School of Biol</w:t>
      </w:r>
      <w:r w:rsidR="00731573">
        <w:rPr>
          <w:rFonts w:ascii="Calibri" w:eastAsia="Calibri" w:hAnsi="Calibri" w:cs="Calibri"/>
          <w:sz w:val="28"/>
          <w:szCs w:val="28"/>
        </w:rPr>
        <w:t xml:space="preserve">ogical Sciences, </w:t>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00731573">
        <w:rPr>
          <w:rFonts w:ascii="Calibri" w:eastAsia="Calibri" w:hAnsi="Calibri" w:cs="Calibri"/>
          <w:sz w:val="28"/>
          <w:szCs w:val="28"/>
        </w:rPr>
        <w:tab/>
      </w:r>
      <w:r w:rsidRPr="00B96CC3">
        <w:rPr>
          <w:rFonts w:ascii="Calibri" w:eastAsia="Calibri" w:hAnsi="Calibri" w:cs="Calibri"/>
          <w:sz w:val="28"/>
          <w:szCs w:val="28"/>
        </w:rPr>
        <w:t>University</w:t>
      </w:r>
      <w:r w:rsidR="00731573">
        <w:rPr>
          <w:rFonts w:ascii="Calibri" w:eastAsia="Calibri" w:hAnsi="Calibri" w:cs="Calibri"/>
          <w:sz w:val="28"/>
          <w:szCs w:val="28"/>
        </w:rPr>
        <w:t xml:space="preserve"> of Edinburgh.</w:t>
      </w:r>
    </w:p>
    <w:p w:rsidR="000341EA" w:rsidRPr="00B96CC3" w:rsidRDefault="000341EA">
      <w:pPr>
        <w:pStyle w:val="BodyA"/>
        <w:rPr>
          <w:rFonts w:ascii="Calibri" w:eastAsia="Calibri" w:hAnsi="Calibri" w:cs="Calibri"/>
          <w:sz w:val="24"/>
          <w:szCs w:val="24"/>
        </w:rPr>
      </w:pPr>
    </w:p>
    <w:p w:rsidR="000341EA" w:rsidRPr="00B96CC3" w:rsidRDefault="00812FFE">
      <w:pPr>
        <w:pStyle w:val="BodyA"/>
        <w:rPr>
          <w:rFonts w:ascii="Calibri" w:eastAsia="Calibri" w:hAnsi="Calibri" w:cs="Calibri"/>
          <w:sz w:val="24"/>
          <w:szCs w:val="24"/>
        </w:rPr>
      </w:pPr>
      <w:r w:rsidRPr="00B96CC3">
        <w:rPr>
          <w:rFonts w:ascii="Calibri" w:eastAsia="Calibri" w:hAnsi="Calibri" w:cs="Calibri"/>
          <w:b/>
          <w:bCs/>
          <w:sz w:val="32"/>
          <w:szCs w:val="32"/>
        </w:rPr>
        <w:t xml:space="preserve">Project Title: </w:t>
      </w:r>
      <w:r w:rsidRPr="00B96CC3">
        <w:rPr>
          <w:rFonts w:ascii="Calibri" w:eastAsia="Calibri" w:hAnsi="Calibri" w:cs="Calibri"/>
          <w:b/>
          <w:bCs/>
          <w:sz w:val="32"/>
          <w:szCs w:val="32"/>
        </w:rPr>
        <w:tab/>
      </w:r>
      <w:r w:rsidRPr="00B96CC3">
        <w:rPr>
          <w:rFonts w:ascii="Calibri" w:eastAsia="Calibri" w:hAnsi="Calibri" w:cs="Calibri"/>
          <w:sz w:val="24"/>
          <w:szCs w:val="24"/>
        </w:rPr>
        <w:tab/>
      </w:r>
      <w:r w:rsidRPr="00B96CC3">
        <w:rPr>
          <w:rFonts w:ascii="Calibri" w:eastAsia="Calibri" w:hAnsi="Calibri" w:cs="Calibri"/>
          <w:sz w:val="28"/>
          <w:szCs w:val="28"/>
        </w:rPr>
        <w:t xml:space="preserve">Dynamic mRNA processing in response to environmental </w:t>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r>
      <w:r w:rsidRPr="00B96CC3">
        <w:rPr>
          <w:rFonts w:ascii="Calibri" w:eastAsia="Calibri" w:hAnsi="Calibri" w:cs="Calibri"/>
          <w:sz w:val="28"/>
          <w:szCs w:val="28"/>
        </w:rPr>
        <w:tab/>
        <w:t xml:space="preserve">stimuli in the fungal pathogen </w:t>
      </w:r>
      <w:r w:rsidRPr="00B96CC3">
        <w:rPr>
          <w:rFonts w:ascii="Calibri" w:eastAsia="Calibri" w:hAnsi="Calibri" w:cs="Calibri"/>
          <w:i/>
          <w:iCs/>
          <w:sz w:val="28"/>
          <w:szCs w:val="28"/>
        </w:rPr>
        <w:t>Cry</w:t>
      </w:r>
      <w:r w:rsidR="00D726F4" w:rsidRPr="00B96CC3">
        <w:rPr>
          <w:rFonts w:ascii="Calibri" w:eastAsia="Calibri" w:hAnsi="Calibri" w:cs="Calibri"/>
          <w:i/>
          <w:iCs/>
          <w:sz w:val="28"/>
          <w:szCs w:val="28"/>
        </w:rPr>
        <w:t>p</w:t>
      </w:r>
      <w:r w:rsidRPr="00B96CC3">
        <w:rPr>
          <w:rFonts w:ascii="Calibri" w:eastAsia="Calibri" w:hAnsi="Calibri" w:cs="Calibri"/>
          <w:i/>
          <w:iCs/>
          <w:sz w:val="28"/>
          <w:szCs w:val="28"/>
        </w:rPr>
        <w:t>tococcus neoformans</w:t>
      </w:r>
      <w:r w:rsidRPr="00B96CC3">
        <w:rPr>
          <w:rFonts w:ascii="Calibri" w:eastAsia="Calibri" w:hAnsi="Calibri" w:cs="Calibri"/>
          <w:sz w:val="28"/>
          <w:szCs w:val="28"/>
        </w:rPr>
        <w:t>.</w:t>
      </w:r>
    </w:p>
    <w:p w:rsidR="000341EA" w:rsidRPr="00B96CC3" w:rsidRDefault="000341EA">
      <w:pPr>
        <w:pStyle w:val="BodyA"/>
        <w:rPr>
          <w:rFonts w:ascii="Calibri" w:eastAsia="Calibri" w:hAnsi="Calibri" w:cs="Calibri"/>
          <w:sz w:val="24"/>
          <w:szCs w:val="24"/>
        </w:rPr>
      </w:pPr>
    </w:p>
    <w:p w:rsidR="000341EA" w:rsidRPr="00B96CC3" w:rsidRDefault="00812FFE">
      <w:pPr>
        <w:pStyle w:val="Body"/>
        <w:rPr>
          <w:rFonts w:ascii="Calibri" w:hAnsi="Calibri" w:cs="Calibri"/>
        </w:rPr>
      </w:pPr>
      <w:r w:rsidRPr="00B96CC3">
        <w:rPr>
          <w:rFonts w:ascii="Calibri" w:eastAsia="Calibri" w:hAnsi="Calibri" w:cs="Calibri"/>
          <w:sz w:val="24"/>
          <w:szCs w:val="24"/>
        </w:rPr>
        <w:br w:type="page"/>
      </w:r>
    </w:p>
    <w:p w:rsidR="004C6FDC" w:rsidRPr="00B96CC3" w:rsidRDefault="004C6FDC" w:rsidP="00900C66">
      <w:pPr>
        <w:widowControl w:val="0"/>
        <w:autoSpaceDE w:val="0"/>
        <w:autoSpaceDN w:val="0"/>
        <w:adjustRightInd w:val="0"/>
        <w:spacing w:after="160"/>
        <w:rPr>
          <w:rFonts w:ascii="Calibri" w:eastAsia="Calibri" w:hAnsi="Calibri" w:cs="Calibri"/>
          <w:b/>
          <w:sz w:val="32"/>
          <w:szCs w:val="32"/>
        </w:rPr>
      </w:pPr>
      <w:r w:rsidRPr="00B96CC3">
        <w:rPr>
          <w:rFonts w:ascii="Calibri" w:eastAsia="Calibri" w:hAnsi="Calibri" w:cs="Calibri"/>
          <w:b/>
          <w:sz w:val="32"/>
          <w:szCs w:val="32"/>
        </w:rPr>
        <w:lastRenderedPageBreak/>
        <w:t>Reason</w:t>
      </w:r>
      <w:r w:rsidR="004B04B1">
        <w:rPr>
          <w:rFonts w:ascii="Calibri" w:eastAsia="Calibri" w:hAnsi="Calibri" w:cs="Calibri"/>
          <w:b/>
          <w:sz w:val="32"/>
          <w:szCs w:val="32"/>
        </w:rPr>
        <w:t>s for applying for a Fellowship</w:t>
      </w:r>
    </w:p>
    <w:p w:rsidR="000341EA" w:rsidRPr="00B96CC3" w:rsidRDefault="00812FFE" w:rsidP="00900C66">
      <w:pPr>
        <w:widowControl w:val="0"/>
        <w:autoSpaceDE w:val="0"/>
        <w:autoSpaceDN w:val="0"/>
        <w:adjustRightInd w:val="0"/>
        <w:spacing w:after="160"/>
        <w:rPr>
          <w:rFonts w:ascii="Calibri" w:eastAsia="Calibri" w:hAnsi="Calibri" w:cs="Calibri"/>
        </w:rPr>
      </w:pPr>
      <w:r w:rsidRPr="00B96CC3">
        <w:rPr>
          <w:rFonts w:ascii="Calibri" w:eastAsia="Calibri" w:hAnsi="Calibri" w:cs="Calibri"/>
        </w:rPr>
        <w:t xml:space="preserve">During my undergraduate </w:t>
      </w:r>
      <w:r w:rsidR="00731573">
        <w:rPr>
          <w:rFonts w:ascii="Calibri" w:eastAsia="Calibri" w:hAnsi="Calibri" w:cs="Calibri"/>
        </w:rPr>
        <w:t xml:space="preserve">degree </w:t>
      </w:r>
      <w:r w:rsidR="008E2B62">
        <w:rPr>
          <w:rFonts w:ascii="Calibri" w:eastAsia="Calibri" w:hAnsi="Calibri" w:cs="Calibri"/>
        </w:rPr>
        <w:t>I loved</w:t>
      </w:r>
      <w:r w:rsidRPr="00B96CC3">
        <w:rPr>
          <w:rFonts w:ascii="Calibri" w:eastAsia="Calibri" w:hAnsi="Calibri" w:cs="Calibri"/>
        </w:rPr>
        <w:t xml:space="preserve"> molecular biology and how it relates to the pathogenesis of disease. My PhD looked at the</w:t>
      </w:r>
      <w:r w:rsidR="008E2B62">
        <w:rPr>
          <w:rFonts w:ascii="Calibri" w:eastAsia="Calibri" w:hAnsi="Calibri" w:cs="Calibri"/>
        </w:rPr>
        <w:t xml:space="preserve"> relationship of</w:t>
      </w:r>
      <w:r w:rsidRPr="00B96CC3">
        <w:rPr>
          <w:rFonts w:ascii="Calibri" w:eastAsia="Calibri" w:hAnsi="Calibri" w:cs="Calibri"/>
        </w:rPr>
        <w:t xml:space="preserve"> </w:t>
      </w:r>
      <w:r w:rsidR="008E2B62">
        <w:rPr>
          <w:rFonts w:ascii="Calibri" w:eastAsia="Calibri" w:hAnsi="Calibri" w:cs="Calibri"/>
        </w:rPr>
        <w:t xml:space="preserve">the </w:t>
      </w:r>
      <w:r w:rsidRPr="00B96CC3">
        <w:rPr>
          <w:rFonts w:ascii="Calibri" w:eastAsia="Calibri" w:hAnsi="Calibri" w:cs="Calibri"/>
        </w:rPr>
        <w:t>HIV viral</w:t>
      </w:r>
      <w:r w:rsidR="008E2B62">
        <w:rPr>
          <w:rFonts w:ascii="Calibri" w:eastAsia="Calibri" w:hAnsi="Calibri" w:cs="Calibri"/>
        </w:rPr>
        <w:t xml:space="preserve"> population</w:t>
      </w:r>
      <w:r w:rsidRPr="00B96CC3">
        <w:rPr>
          <w:rFonts w:ascii="Calibri" w:eastAsia="Calibri" w:hAnsi="Calibri" w:cs="Calibri"/>
        </w:rPr>
        <w:t xml:space="preserve"> to disease progression, primarily the evolutionary analysis of isolates infecting lymphoid and non-lymphoid tissues</w:t>
      </w:r>
      <w:r w:rsidR="00D05A1A" w:rsidRPr="00B96CC3">
        <w:rPr>
          <w:rFonts w:ascii="Calibri" w:eastAsia="Calibri" w:hAnsi="Calibri" w:cs="Calibri"/>
        </w:rPr>
        <w:t xml:space="preserve"> </w:t>
      </w:r>
      <w:r w:rsidR="00F94C7A" w:rsidRPr="00B96CC3">
        <w:rPr>
          <w:rStyle w:val="FootnoteReference"/>
          <w:rFonts w:ascii="Calibri" w:eastAsia="Calibri" w:hAnsi="Calibri" w:cs="Calibri"/>
        </w:rPr>
        <w:fldChar w:fldCharType="begin" w:fldLock="1"/>
      </w:r>
      <w:r w:rsidR="00F94C7A" w:rsidRPr="00B96CC3">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genes.","type":"article-journal","volume":"71"},"uris":["http://www.mendeley.com/documents/?uuid=474b58a4-546c-42f3-bd80-3c48be958cb3"]},{"id":"ITEM-2","itemData":{"DOI":"10.1099/0022-1317-78-11-2871","ISSN":"00221317","PMID":"9367374","abstract":"In this study we have analysed variability in the V1 and V2 regions of human immunodeficiency virus type 1 (HIV-1) proviral sequences amplified from lymphoid tissue, brain and other non-lymphoid tissue collected at autopsy from three HIV-1-infected individuals with giant cell encephalitis. We found no evidence for any tissue-specific grouping of variants in the V1/V2 regions, in contrast to previous comparisons of sequences in the V3 region, but consistent with the existence of evolutionarily distinct lineages previously observed in these study subjects by sequence comparisons of the p17gag gene. Examination of inferred amino acid sequences from V1 and V2 revealed no correlations between tissue origin with overall charge, length or number of glycosylation sites. Length polymorphism analysis is a rapid method to compare whole populations of HIV-1 variants within a sample, and provides information on the length and diversity of the V1 and V2 hypervariable regions. Based upon a comparison of 42 individuals with CD4 counts ranging from 802 to &lt; 1 at time of death, we found no evidence for changes in the length of V2 with development of AIDS. Using the number of length variants in the V1 and V2 hypervariable region as a marker of the overall degree of variability within HIV populations, we found no evidence for an increase or a decrease in diversity between those with and without AIDS defining illness.","author":[{"dropping-particle":"","family":"Hughes","given":"Elizabeth S.","non-dropping-particle":"","parse-names":false,"suffix":""},{"dropping-particle":"","family":"Bell","given":"Jeanne E.","non-dropping-particle":"","parse-names":false,"suffix":""},{"dropping-particle":"","family":"Simmonds","given":"Peter","non-dropping-particle":"","parse-names":false,"suffix":""}],"container-title":"Journal of General Virology","id":"ITEM-2","issue":"11","issued":{"date-parts":[["1997"]]},"page":"2871-2882","title":"Investigation of population diversity of human immunodeficiency virus type 1 in vivo by nucleotide sequencing and length polymorphism analysis of the V1/V2 hypervariable region of env","type":"article-journal","volume":"78"},"uris":["http://www.mendeley.com/documents/?uuid=26847f47-3edc-47ef-9f92-e37f62d98335"]}],"mendeley":{"formattedCitation":"&lt;sup&gt;1,2&lt;/sup&gt;","plainTextFormattedCitation":"1,2","previouslyFormattedCitation":"&lt;sup&gt;1,2&lt;/sup&gt;"},"properties":{"noteIndex":0},"schema":"https://github.com/citation-style-language/schema/raw/master/csl-citation.json"}</w:instrText>
      </w:r>
      <w:r w:rsidR="00F94C7A" w:rsidRPr="00B96CC3">
        <w:rPr>
          <w:rStyle w:val="FootnoteReference"/>
          <w:rFonts w:ascii="Calibri" w:eastAsia="Calibri" w:hAnsi="Calibri" w:cs="Calibri"/>
        </w:rPr>
        <w:fldChar w:fldCharType="separate"/>
      </w:r>
      <w:r w:rsidR="00F94C7A" w:rsidRPr="00B96CC3">
        <w:rPr>
          <w:rFonts w:ascii="Calibri" w:eastAsia="Calibri" w:hAnsi="Calibri" w:cs="Calibri"/>
          <w:bCs/>
          <w:noProof/>
          <w:vertAlign w:val="superscript"/>
        </w:rPr>
        <w:t>1,2</w:t>
      </w:r>
      <w:r w:rsidR="00F94C7A" w:rsidRPr="00B96CC3">
        <w:rPr>
          <w:rStyle w:val="FootnoteReference"/>
          <w:rFonts w:ascii="Calibri" w:eastAsia="Calibri" w:hAnsi="Calibri" w:cs="Calibri"/>
        </w:rPr>
        <w:fldChar w:fldCharType="end"/>
      </w:r>
      <w:r w:rsidRPr="00B96CC3">
        <w:rPr>
          <w:rFonts w:ascii="Calibri" w:eastAsia="Calibri" w:hAnsi="Calibri" w:cs="Calibri"/>
        </w:rPr>
        <w:t>. This led to the discovery of a previously unknown dormant HIV population in the brain and a first auth</w:t>
      </w:r>
      <w:r w:rsidR="00D05A1A" w:rsidRPr="00B96CC3">
        <w:rPr>
          <w:rFonts w:ascii="Calibri" w:eastAsia="Calibri" w:hAnsi="Calibri" w:cs="Calibri"/>
        </w:rPr>
        <w:t xml:space="preserve">or paper with over 100 citation </w:t>
      </w:r>
      <w:r w:rsidR="00F94C7A" w:rsidRPr="00B96CC3">
        <w:rPr>
          <w:rStyle w:val="FootnoteReference"/>
          <w:rFonts w:ascii="Calibri" w:eastAsia="Calibri" w:hAnsi="Calibri" w:cs="Calibri"/>
        </w:rPr>
        <w:fldChar w:fldCharType="begin" w:fldLock="1"/>
      </w:r>
      <w:r w:rsidR="00F94C7A" w:rsidRPr="00B96CC3">
        <w:rPr>
          <w:rFonts w:ascii="Calibri" w:eastAsia="Calibri" w:hAnsi="Calibri" w:cs="Calibri"/>
        </w:rPr>
        <w:instrText>ADDIN CSL_CITATION {"citationItems":[{"id":"ITEM-1","itemData":{"ISBN":"0022-538X (Print)\\r0022-538X (Linking)","ISSN":"0022-538X","PMID":"8995651","abstract":"The time of spread of human immunodeficiency virus type 1 (HIV-1) from lymphoid to nonlymphoid tissues in the course of infection was investigated by sequence comparisons of variants infecting a range of lymphoid and nonlymphoid tissues from three individuals with AIDS in the pl7gag gene and regions flanking the V1/V2 hypervariable regions. Phylogenetic analysis in both regions revealed several lineages in each individual that contained sequences from both lymphoid and nonlymphoid tissues such as the brain. This observation contrasts strongly with the previously described organ-specific sequences in the V3 region in this study population and other investigations. Although individual pairwise comparisons of relatively short sequences such as p17gag are subject to considerable stochastic error, we found that the diversity of gag sequences in variants from lymphoid tissue was consistently lower than that found among variants amplified from the brain. By estimating mean synonymous pairwise distances in the p17gag region, we were able to make an approximate calculation of the ages of populations in different tissues. Those from lymphoid tissue ranged from 2.65 to 5.6 years in the three study subjects, compared with 4.1 to 6.2 years for variants in the brain. Indeed, variants infecting the brain were no more closely related to each other than they were to variants infecting other tissues in the body. In two of the three individuals, these times of divergence indicate that infection of the brain may have occurred as an early event in the progression to disease, preceding the onset of AIDS by several years. This study is the first in which it was possible to estimate times of diversification in different tissues in vivo and is of importance in understanding the dynamics of the spread of HIV-1 into nonlymphoid tissues and its possible adaptation for replication in different cell types.","author":[{"dropping-particle":"","family":"Hughes","given":"E S","non-dropping-particle":"","parse-names":false,"suffix":""},{"dropping-particle":"","family":"Bell","given":"J E","non-dropping-particle":"","parse-names":false,"suffix":""},{"dropping-particle":"","family":"Simmonds","given":"P","non-dropping-particle":"","parse-names":false,"suffix":""}],"container-title":"Journal of virology","id":"ITEM-1","issue":"2","issued":{"date-parts":[["1997","2"]]},"page":"1272-80","publisher":"American Society for Microbiology (ASM)","title":"Investigation of the dynamics of the spread of human immunodeficiency virus to brain and other tissues by evolutionary analysis of sequences from the p17gag and env genes.","type":"article-journal","volume":"71"},"uris":["http://www.mendeley.com/documents/?uuid=474b58a4-546c-42f3-bd80-3c48be958cb3"]}],"mendeley":{"formattedCitation":"&lt;sup&gt;1&lt;/sup&gt;","plainTextFormattedCitation":"1","previouslyFormattedCitation":"&lt;sup&gt;1&lt;/sup&gt;"},"properties":{"noteIndex":0},"schema":"https://github.com/citation-style-language/schema/raw/master/csl-citation.json"}</w:instrText>
      </w:r>
      <w:r w:rsidR="00F94C7A" w:rsidRPr="00B96CC3">
        <w:rPr>
          <w:rStyle w:val="FootnoteReference"/>
          <w:rFonts w:ascii="Calibri" w:eastAsia="Calibri" w:hAnsi="Calibri" w:cs="Calibri"/>
        </w:rPr>
        <w:fldChar w:fldCharType="separate"/>
      </w:r>
      <w:r w:rsidR="00F94C7A" w:rsidRPr="00B96CC3">
        <w:rPr>
          <w:rFonts w:ascii="Calibri" w:eastAsia="Calibri" w:hAnsi="Calibri" w:cs="Calibri"/>
          <w:noProof/>
          <w:vertAlign w:val="superscript"/>
        </w:rPr>
        <w:t>1</w:t>
      </w:r>
      <w:r w:rsidR="00F94C7A" w:rsidRPr="00B96CC3">
        <w:rPr>
          <w:rStyle w:val="FootnoteReference"/>
          <w:rFonts w:ascii="Calibri" w:eastAsia="Calibri" w:hAnsi="Calibri" w:cs="Calibri"/>
        </w:rPr>
        <w:fldChar w:fldCharType="end"/>
      </w:r>
      <w:r w:rsidR="00900C66" w:rsidRPr="00B96CC3">
        <w:rPr>
          <w:rFonts w:ascii="Calibri" w:eastAsia="Calibri" w:hAnsi="Calibri" w:cs="Calibri"/>
        </w:rPr>
        <w:t>.</w:t>
      </w:r>
      <w:r w:rsidRPr="00B96CC3">
        <w:rPr>
          <w:rFonts w:ascii="Calibri" w:eastAsia="Calibri" w:hAnsi="Calibri" w:cs="Calibri"/>
        </w:rPr>
        <w:t xml:space="preserve"> </w:t>
      </w: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 xml:space="preserve">Subsequently, I examined </w:t>
      </w:r>
      <w:r w:rsidR="00731573">
        <w:rPr>
          <w:rFonts w:ascii="Calibri" w:eastAsia="Calibri" w:hAnsi="Calibri" w:cs="Calibri"/>
          <w:sz w:val="24"/>
          <w:szCs w:val="24"/>
        </w:rPr>
        <w:t>the replicative processes of Hepatitis C Virus</w:t>
      </w:r>
      <w:r w:rsidRPr="00B96CC3">
        <w:rPr>
          <w:rFonts w:ascii="Calibri" w:eastAsia="Calibri" w:hAnsi="Calibri" w:cs="Calibri"/>
          <w:sz w:val="24"/>
          <w:szCs w:val="24"/>
        </w:rPr>
        <w:t xml:space="preserve"> </w:t>
      </w:r>
      <w:r w:rsidR="00731573">
        <w:rPr>
          <w:rFonts w:ascii="Calibri" w:eastAsia="Calibri" w:hAnsi="Calibri" w:cs="Calibri"/>
          <w:sz w:val="24"/>
          <w:szCs w:val="24"/>
        </w:rPr>
        <w:t xml:space="preserve">(HCV) </w:t>
      </w:r>
      <w:r w:rsidRPr="00B96CC3">
        <w:rPr>
          <w:rFonts w:ascii="Calibri" w:eastAsia="Calibri" w:hAnsi="Calibri" w:cs="Calibri"/>
          <w:sz w:val="24"/>
          <w:szCs w:val="24"/>
        </w:rPr>
        <w:t xml:space="preserve">by determining whether the </w:t>
      </w:r>
      <w:r w:rsidR="00731573">
        <w:rPr>
          <w:rFonts w:ascii="Calibri" w:eastAsia="Calibri" w:hAnsi="Calibri" w:cs="Calibri"/>
          <w:sz w:val="24"/>
          <w:szCs w:val="24"/>
        </w:rPr>
        <w:t xml:space="preserve">non-structural 5B </w:t>
      </w:r>
      <w:r w:rsidRPr="00B96CC3">
        <w:rPr>
          <w:rFonts w:ascii="Calibri" w:eastAsia="Calibri" w:hAnsi="Calibri" w:cs="Calibri"/>
          <w:sz w:val="24"/>
          <w:szCs w:val="24"/>
        </w:rPr>
        <w:t>protein (</w:t>
      </w:r>
      <w:r w:rsidR="00731573">
        <w:rPr>
          <w:rFonts w:ascii="Calibri" w:eastAsia="Calibri" w:hAnsi="Calibri" w:cs="Calibri"/>
          <w:sz w:val="24"/>
          <w:szCs w:val="24"/>
        </w:rPr>
        <w:t xml:space="preserve">NS5B; </w:t>
      </w:r>
      <w:r w:rsidRPr="00B96CC3">
        <w:rPr>
          <w:rFonts w:ascii="Calibri" w:eastAsia="Calibri" w:hAnsi="Calibri" w:cs="Calibri"/>
          <w:sz w:val="24"/>
          <w:szCs w:val="24"/>
        </w:rPr>
        <w:t xml:space="preserve">predicted to possess an </w:t>
      </w:r>
      <w:r w:rsidR="00731573">
        <w:rPr>
          <w:rFonts w:ascii="Calibri" w:eastAsia="Calibri" w:hAnsi="Calibri" w:cs="Calibri"/>
          <w:sz w:val="24"/>
          <w:szCs w:val="24"/>
        </w:rPr>
        <w:t xml:space="preserve">RNA dependent RNA polymerase </w:t>
      </w:r>
      <w:r w:rsidRPr="00B96CC3">
        <w:rPr>
          <w:rFonts w:ascii="Calibri" w:eastAsia="Calibri" w:hAnsi="Calibri" w:cs="Calibri"/>
          <w:sz w:val="24"/>
          <w:szCs w:val="24"/>
        </w:rPr>
        <w:t xml:space="preserve">activity) was capable of directing HCV replication. I optimized bacterial expression systems and purified the NS5B fusion protein. </w:t>
      </w: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 xml:space="preserve">I </w:t>
      </w:r>
      <w:r w:rsidR="00731573">
        <w:rPr>
          <w:rFonts w:ascii="Calibri" w:eastAsia="Calibri" w:hAnsi="Calibri" w:cs="Calibri"/>
          <w:sz w:val="24"/>
          <w:szCs w:val="24"/>
        </w:rPr>
        <w:t xml:space="preserve">then </w:t>
      </w:r>
      <w:r w:rsidR="008E2B62">
        <w:rPr>
          <w:rFonts w:ascii="Calibri" w:eastAsia="Calibri" w:hAnsi="Calibri" w:cs="Calibri"/>
          <w:sz w:val="24"/>
          <w:szCs w:val="24"/>
        </w:rPr>
        <w:t>investigated the structure/</w:t>
      </w:r>
      <w:r w:rsidRPr="00B96CC3">
        <w:rPr>
          <w:rFonts w:ascii="Calibri" w:eastAsia="Calibri" w:hAnsi="Calibri" w:cs="Calibri"/>
          <w:sz w:val="24"/>
          <w:szCs w:val="24"/>
        </w:rPr>
        <w:t xml:space="preserve">function of the major outer membrane proteins (MOMP’s) of </w:t>
      </w:r>
      <w:r w:rsidRPr="006D124C">
        <w:rPr>
          <w:rFonts w:ascii="Calibri" w:eastAsia="Calibri" w:hAnsi="Calibri" w:cs="Calibri"/>
          <w:i/>
          <w:sz w:val="24"/>
          <w:szCs w:val="24"/>
        </w:rPr>
        <w:t xml:space="preserve">Chlamydia </w:t>
      </w:r>
      <w:r w:rsidR="006D124C" w:rsidRPr="006D124C">
        <w:rPr>
          <w:rFonts w:ascii="Calibri" w:eastAsia="Calibri" w:hAnsi="Calibri" w:cs="Calibri"/>
          <w:i/>
          <w:sz w:val="24"/>
          <w:szCs w:val="24"/>
        </w:rPr>
        <w:t>trachomatis</w:t>
      </w:r>
      <w:r w:rsidR="006D124C">
        <w:rPr>
          <w:rFonts w:ascii="Calibri" w:eastAsia="Calibri" w:hAnsi="Calibri" w:cs="Calibri"/>
          <w:sz w:val="24"/>
          <w:szCs w:val="24"/>
        </w:rPr>
        <w:t xml:space="preserve"> and </w:t>
      </w:r>
      <w:proofErr w:type="spellStart"/>
      <w:r w:rsidR="006D124C">
        <w:rPr>
          <w:rFonts w:ascii="Calibri" w:eastAsia="Calibri" w:hAnsi="Calibri" w:cs="Calibri"/>
          <w:i/>
          <w:sz w:val="24"/>
          <w:szCs w:val="24"/>
        </w:rPr>
        <w:t>psittac</w:t>
      </w:r>
      <w:r w:rsidR="006D124C" w:rsidRPr="006D124C">
        <w:rPr>
          <w:rFonts w:ascii="Calibri" w:eastAsia="Calibri" w:hAnsi="Calibri" w:cs="Calibri"/>
          <w:i/>
          <w:sz w:val="24"/>
          <w:szCs w:val="24"/>
        </w:rPr>
        <w:t>i</w:t>
      </w:r>
      <w:proofErr w:type="spellEnd"/>
      <w:r w:rsidR="006D124C">
        <w:rPr>
          <w:rFonts w:ascii="Calibri" w:eastAsia="Calibri" w:hAnsi="Calibri" w:cs="Calibri"/>
          <w:sz w:val="24"/>
          <w:szCs w:val="24"/>
        </w:rPr>
        <w:t xml:space="preserve"> </w:t>
      </w:r>
      <w:r w:rsidRPr="00B96CC3">
        <w:rPr>
          <w:rFonts w:ascii="Calibri" w:eastAsia="Calibri" w:hAnsi="Calibri" w:cs="Calibri"/>
          <w:sz w:val="24"/>
          <w:szCs w:val="24"/>
        </w:rPr>
        <w:t>wh</w:t>
      </w:r>
      <w:r w:rsidR="00731573">
        <w:rPr>
          <w:rFonts w:ascii="Calibri" w:eastAsia="Calibri" w:hAnsi="Calibri" w:cs="Calibri"/>
          <w:sz w:val="24"/>
          <w:szCs w:val="24"/>
        </w:rPr>
        <w:t>ere I cloned and expressed wild-</w:t>
      </w:r>
      <w:r w:rsidRPr="00B96CC3">
        <w:rPr>
          <w:rFonts w:ascii="Calibri" w:eastAsia="Calibri" w:hAnsi="Calibri" w:cs="Calibri"/>
          <w:sz w:val="24"/>
          <w:szCs w:val="24"/>
        </w:rPr>
        <w:t xml:space="preserve">type and </w:t>
      </w:r>
      <w:r w:rsidR="00731573">
        <w:rPr>
          <w:rFonts w:ascii="Calibri" w:eastAsia="Calibri" w:hAnsi="Calibri" w:cs="Calibri"/>
          <w:sz w:val="24"/>
          <w:szCs w:val="24"/>
        </w:rPr>
        <w:t>short variable domain 4 (VS</w:t>
      </w:r>
      <w:r w:rsidRPr="00B96CC3">
        <w:rPr>
          <w:rFonts w:ascii="Calibri" w:eastAsia="Calibri" w:hAnsi="Calibri" w:cs="Calibri"/>
          <w:sz w:val="24"/>
          <w:szCs w:val="24"/>
        </w:rPr>
        <w:t>4</w:t>
      </w:r>
      <w:r w:rsidR="00731573">
        <w:rPr>
          <w:rFonts w:ascii="Calibri" w:eastAsia="Calibri" w:hAnsi="Calibri" w:cs="Calibri"/>
          <w:sz w:val="24"/>
          <w:szCs w:val="24"/>
        </w:rPr>
        <w:t>)</w:t>
      </w:r>
      <w:r w:rsidRPr="00B96CC3">
        <w:rPr>
          <w:rFonts w:ascii="Calibri" w:eastAsia="Calibri" w:hAnsi="Calibri" w:cs="Calibri"/>
          <w:sz w:val="24"/>
          <w:szCs w:val="24"/>
        </w:rPr>
        <w:t xml:space="preserve"> mutated proteins and functionally reconstituted them at the single-channel level. </w:t>
      </w:r>
      <w:r w:rsidR="00731573">
        <w:rPr>
          <w:rFonts w:ascii="Calibri" w:eastAsia="Calibri" w:hAnsi="Calibri" w:cs="Calibri"/>
          <w:sz w:val="24"/>
          <w:szCs w:val="24"/>
        </w:rPr>
        <w:t xml:space="preserve">The </w:t>
      </w:r>
      <w:r w:rsidRPr="00B96CC3">
        <w:rPr>
          <w:rFonts w:ascii="Calibri" w:eastAsia="Calibri" w:hAnsi="Calibri" w:cs="Calibri"/>
          <w:sz w:val="24"/>
          <w:szCs w:val="24"/>
        </w:rPr>
        <w:t>VS4 domain was not required for pore formation but may help to form the channel</w:t>
      </w:r>
      <w:r w:rsidR="00F94C7A" w:rsidRPr="00B96CC3">
        <w:rPr>
          <w:rStyle w:val="FootnoteReference"/>
          <w:rFonts w:ascii="Calibri" w:eastAsia="Calibri" w:hAnsi="Calibri" w:cs="Calibri"/>
          <w:sz w:val="24"/>
          <w:szCs w:val="24"/>
        </w:rPr>
        <w:fldChar w:fldCharType="begin" w:fldLock="1"/>
      </w:r>
      <w:r w:rsidR="00F94C7A" w:rsidRPr="00B96CC3">
        <w:rPr>
          <w:rFonts w:ascii="Calibri" w:eastAsia="Calibri" w:hAnsi="Calibri" w:cs="Calibri"/>
          <w:sz w:val="24"/>
          <w:szCs w:val="24"/>
        </w:rPr>
        <w:instrText>ADDIN CSL_CITATION {"citationItems":[{"id":"ITEM-1","itemData":{"DOI":"10.1128/IAI.69.3.1671-1678.2001","ISBN":"0)316503711","ISSN":"00199567","PMID":"11179342","abstract":"Chlamidial organisms are obligate intracellular pathogens containing highly antigenic porin-like major outer membrane proteins (MOMPs). MOMP epitopes are of substantial medical interest, and they cluster within four relatively short variable (VS) domains. If MOMPs adopt a beta-barrel fold, like bacterial porins, the VS domains may form extramembranous loops and the conserved regions of the protein may correspond to predicted membrane-located beta-strands. However, molecular studies on native MOMPs have been hampered by the need to culture chlamydiae in eukaryotic host cells and purification and reconstitution remain problematic. In addition, the organisms are difficult to manipulate genetically, and it has also been difficult to functionally reconstitute recombinant MOMPs. To help overcome these problems and improve our understanding of MOMP structure and function, we cloned and expressed C. trachomatis and C. psittaci MOMPs and functionally reconstituted them at the single-channel level. We measured significant functional differences between the two proteins, and by removing and exchanging VS4, we tested the hypothesis that the largest variable domain forms an extramembranous loop that contributes to these differences. Proteins in which VS4 was deleted continued to form functional ion channels, consistent with the idea that the domain forms an extramembranous protein loop and incompatible with models in which it contributes to predicted membrane-located beta-strands. Additionally, the properties of the chimeric proteins strongly suggested that the VS4 domain interacts closely with other regions of the protein to form the channel entrance or vestibule. Our approach can be used to probe structure-function relationships in chlamydial MOMPs and may have implications for the generation of effective antichlamydial vaccines","author":[{"dropping-particle":"","family":"Hughes","given":"E. S.","non-dropping-particle":"","parse-names":false,"suffix":""},{"dropping-particle":"","family":"Shaw","given":"K. M.","non-dropping-particle":"","parse-names":false,"suffix":""},{"dropping-particle":"","family":"Ashley","given":"R. H.","non-dropping-particle":"","parse-names":false,"suffix":""}],"container-title":"Infection and Immunity","id":"ITEM-1","issue":"3","issued":{"date-parts":[["2001"]]},"page":"1671-1678","title":"Mutagenesis and functional reconstitution of chlamydial major outer membrane proteins: VS4 domains are not required for pore formation but modify channel function","type":"article-journal","volume":"69"},"uris":["http://www.mendeley.com/documents/?uuid=88a548c6-92db-4ce6-afa5-07a7dbbc6ca0"]}],"mendeley":{"formattedCitation":"&lt;sup&gt;3&lt;/sup&gt;","plainTextFormattedCitation":"3","previouslyFormattedCitation":"&lt;sup&gt;3&lt;/sup&gt;"},"properties":{"noteIndex":0},"schema":"https://github.com/citation-style-language/schema/raw/master/csl-citation.json"}</w:instrText>
      </w:r>
      <w:r w:rsidR="00F94C7A" w:rsidRPr="00B96CC3">
        <w:rPr>
          <w:rStyle w:val="FootnoteReference"/>
          <w:rFonts w:ascii="Calibri" w:eastAsia="Calibri" w:hAnsi="Calibri" w:cs="Calibri"/>
          <w:sz w:val="24"/>
          <w:szCs w:val="24"/>
        </w:rPr>
        <w:fldChar w:fldCharType="separate"/>
      </w:r>
      <w:r w:rsidR="00F94C7A" w:rsidRPr="00B96CC3">
        <w:rPr>
          <w:rFonts w:ascii="Calibri" w:eastAsia="Calibri" w:hAnsi="Calibri" w:cs="Calibri"/>
          <w:bCs/>
          <w:noProof/>
          <w:sz w:val="24"/>
          <w:szCs w:val="24"/>
          <w:vertAlign w:val="superscript"/>
        </w:rPr>
        <w:t>3</w:t>
      </w:r>
      <w:r w:rsidR="00F94C7A"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I then joined a leading bio safety testing facility</w:t>
      </w:r>
      <w:r w:rsidR="00731573">
        <w:rPr>
          <w:rFonts w:ascii="Calibri" w:eastAsia="Calibri" w:hAnsi="Calibri" w:cs="Calibri"/>
          <w:sz w:val="24"/>
          <w:szCs w:val="24"/>
        </w:rPr>
        <w:t xml:space="preserve">, </w:t>
      </w:r>
      <w:proofErr w:type="spellStart"/>
      <w:r w:rsidR="00731573">
        <w:rPr>
          <w:rFonts w:ascii="Calibri" w:eastAsia="Calibri" w:hAnsi="Calibri" w:cs="Calibri"/>
          <w:sz w:val="24"/>
          <w:szCs w:val="24"/>
        </w:rPr>
        <w:t>BioReliance</w:t>
      </w:r>
      <w:proofErr w:type="spellEnd"/>
      <w:r w:rsidR="00731573">
        <w:rPr>
          <w:rFonts w:ascii="Calibri" w:eastAsia="Calibri" w:hAnsi="Calibri" w:cs="Calibri"/>
          <w:sz w:val="24"/>
          <w:szCs w:val="24"/>
        </w:rPr>
        <w:t>,</w:t>
      </w:r>
      <w:r w:rsidRPr="00B96CC3">
        <w:rPr>
          <w:rFonts w:ascii="Calibri" w:eastAsia="Calibri" w:hAnsi="Calibri" w:cs="Calibri"/>
          <w:sz w:val="24"/>
          <w:szCs w:val="24"/>
        </w:rPr>
        <w:t xml:space="preserve"> as the research and development scientist and developed a wide range of molecular based assays for clients</w:t>
      </w:r>
      <w:r w:rsidR="00731573">
        <w:rPr>
          <w:rFonts w:ascii="Calibri" w:eastAsia="Calibri" w:hAnsi="Calibri" w:cs="Calibri"/>
          <w:sz w:val="24"/>
          <w:szCs w:val="24"/>
        </w:rPr>
        <w:t xml:space="preserve"> as well as</w:t>
      </w:r>
      <w:r w:rsidRPr="00B96CC3">
        <w:rPr>
          <w:rFonts w:ascii="Calibri" w:eastAsia="Calibri" w:hAnsi="Calibri" w:cs="Calibri"/>
          <w:sz w:val="24"/>
          <w:szCs w:val="24"/>
        </w:rPr>
        <w:t xml:space="preserve"> provid</w:t>
      </w:r>
      <w:r w:rsidR="00731573">
        <w:rPr>
          <w:rFonts w:ascii="Calibri" w:eastAsia="Calibri" w:hAnsi="Calibri" w:cs="Calibri"/>
          <w:sz w:val="24"/>
          <w:szCs w:val="24"/>
        </w:rPr>
        <w:t>ing</w:t>
      </w:r>
      <w:r w:rsidRPr="00B96CC3">
        <w:rPr>
          <w:rFonts w:ascii="Calibri" w:eastAsia="Calibri" w:hAnsi="Calibri" w:cs="Calibri"/>
          <w:sz w:val="24"/>
          <w:szCs w:val="24"/>
        </w:rPr>
        <w:t xml:space="preserve"> technical training and support for colleagues.</w:t>
      </w: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I chose to take a career break to raise my family. My husband works in the marine industry as a consultant</w:t>
      </w:r>
      <w:r w:rsidR="00731573">
        <w:rPr>
          <w:rFonts w:ascii="Calibri" w:eastAsia="Calibri" w:hAnsi="Calibri" w:cs="Calibri"/>
          <w:sz w:val="24"/>
          <w:szCs w:val="24"/>
        </w:rPr>
        <w:t xml:space="preserve"> in risk-assessment/safety-</w:t>
      </w:r>
      <w:r w:rsidRPr="00B96CC3">
        <w:rPr>
          <w:rFonts w:ascii="Calibri" w:eastAsia="Calibri" w:hAnsi="Calibri" w:cs="Calibri"/>
          <w:sz w:val="24"/>
          <w:szCs w:val="24"/>
        </w:rPr>
        <w:t xml:space="preserve">management and this job takes him away from home on a regular basis. </w:t>
      </w:r>
      <w:r w:rsidR="00731573">
        <w:rPr>
          <w:rFonts w:ascii="Calibri" w:eastAsia="Calibri" w:hAnsi="Calibri" w:cs="Calibri"/>
          <w:sz w:val="24"/>
          <w:szCs w:val="24"/>
        </w:rPr>
        <w:t>Due to this</w:t>
      </w:r>
      <w:r w:rsidRPr="00B96CC3">
        <w:rPr>
          <w:rFonts w:ascii="Calibri" w:eastAsia="Calibri" w:hAnsi="Calibri" w:cs="Calibri"/>
          <w:sz w:val="24"/>
          <w:szCs w:val="24"/>
        </w:rPr>
        <w:t xml:space="preserve"> and the prohibitive costs of childcare we decided it would be best if I put my career on hold to raise our family. During this time I have taken over the administrative side of our business. </w:t>
      </w: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Both of my children now attend high school and I am confident that they are mature and resilient enough for me to return to my chosen career. I am excited to re-engage with the scientific community. I find the challenges associated with research both rewarding and enlightening and I look forward to returning to the lab environment.</w:t>
      </w: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The Daphne Jackson Fellowship with MRS presents an ideal platform for me to resume my biomedical research career. The provision of mentoring, support and retraining are invaluable. This fellowship will give me the opportunity to update my existing skills w</w:t>
      </w:r>
      <w:r w:rsidR="00731573">
        <w:rPr>
          <w:rFonts w:ascii="Calibri" w:eastAsia="Calibri" w:hAnsi="Calibri" w:cs="Calibri"/>
          <w:sz w:val="24"/>
          <w:szCs w:val="24"/>
        </w:rPr>
        <w:t>hile learning new high-throughput</w:t>
      </w:r>
      <w:r w:rsidRPr="00B96CC3">
        <w:rPr>
          <w:rFonts w:ascii="Calibri" w:eastAsia="Calibri" w:hAnsi="Calibri" w:cs="Calibri"/>
          <w:sz w:val="24"/>
          <w:szCs w:val="24"/>
        </w:rPr>
        <w:t xml:space="preserve"> ones to help me develop as a person and move my career forward. </w:t>
      </w:r>
    </w:p>
    <w:p w:rsidR="000341EA" w:rsidRPr="00B96CC3" w:rsidRDefault="000341EA">
      <w:pPr>
        <w:pStyle w:val="BodyA"/>
        <w:rPr>
          <w:rFonts w:ascii="Calibri" w:eastAsia="Calibri" w:hAnsi="Calibri" w:cs="Calibri"/>
          <w:sz w:val="24"/>
          <w:szCs w:val="24"/>
        </w:rPr>
      </w:pPr>
    </w:p>
    <w:p w:rsidR="000341EA" w:rsidRPr="00B96CC3" w:rsidRDefault="000341EA">
      <w:pPr>
        <w:pStyle w:val="BodyA"/>
        <w:rPr>
          <w:rFonts w:ascii="Calibri" w:eastAsia="Calibri" w:hAnsi="Calibri" w:cs="Calibri"/>
          <w:sz w:val="24"/>
          <w:szCs w:val="24"/>
        </w:rPr>
      </w:pPr>
    </w:p>
    <w:p w:rsidR="00F94C7A" w:rsidRPr="00B96CC3" w:rsidRDefault="00F94C7A">
      <w:pPr>
        <w:pStyle w:val="BodyA"/>
        <w:rPr>
          <w:rFonts w:ascii="Calibri" w:eastAsia="Calibri" w:hAnsi="Calibri" w:cs="Calibri"/>
          <w:sz w:val="24"/>
          <w:szCs w:val="24"/>
        </w:rPr>
      </w:pPr>
    </w:p>
    <w:p w:rsidR="00F94C7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Word count</w:t>
      </w:r>
      <w:r w:rsidR="00F94C7A" w:rsidRPr="00B96CC3">
        <w:rPr>
          <w:rFonts w:ascii="Calibri" w:eastAsia="Calibri" w:hAnsi="Calibri" w:cs="Calibri"/>
          <w:sz w:val="24"/>
          <w:szCs w:val="24"/>
        </w:rPr>
        <w:t>:</w:t>
      </w:r>
      <w:r w:rsidR="00AD0FD6">
        <w:rPr>
          <w:rFonts w:ascii="Calibri" w:eastAsia="Calibri" w:hAnsi="Calibri" w:cs="Calibri"/>
          <w:sz w:val="24"/>
          <w:szCs w:val="24"/>
        </w:rPr>
        <w:t xml:space="preserve"> 392</w:t>
      </w:r>
      <w:r w:rsidR="00F94C7A" w:rsidRPr="00B96CC3">
        <w:rPr>
          <w:rFonts w:ascii="Calibri" w:eastAsia="Calibri" w:hAnsi="Calibri" w:cs="Calibri"/>
          <w:sz w:val="24"/>
          <w:szCs w:val="24"/>
        </w:rPr>
        <w:t xml:space="preserve"> (400)</w:t>
      </w:r>
    </w:p>
    <w:p w:rsidR="00F94C7A" w:rsidRPr="00B96CC3" w:rsidRDefault="00F94C7A">
      <w:pPr>
        <w:rPr>
          <w:rFonts w:ascii="Calibri" w:eastAsia="Calibri" w:hAnsi="Calibri" w:cs="Calibri"/>
          <w:color w:val="000000"/>
          <w:u w:color="000000"/>
          <w:lang w:eastAsia="en-GB"/>
        </w:rPr>
      </w:pPr>
      <w:r w:rsidRPr="00B96CC3">
        <w:rPr>
          <w:rFonts w:ascii="Calibri" w:eastAsia="Calibri" w:hAnsi="Calibri" w:cs="Calibri"/>
        </w:rPr>
        <w:br w:type="page"/>
      </w:r>
    </w:p>
    <w:p w:rsidR="002006A9" w:rsidRPr="00B96CC3" w:rsidRDefault="00812FFE" w:rsidP="002006A9">
      <w:pPr>
        <w:pStyle w:val="BodyA"/>
        <w:rPr>
          <w:rFonts w:ascii="Calibri" w:eastAsia="Calibri" w:hAnsi="Calibri" w:cs="Calibri"/>
          <w:b/>
          <w:bCs/>
          <w:sz w:val="32"/>
          <w:szCs w:val="32"/>
        </w:rPr>
      </w:pPr>
      <w:r w:rsidRPr="00B96CC3">
        <w:rPr>
          <w:rFonts w:ascii="Calibri" w:eastAsia="Calibri" w:hAnsi="Calibri" w:cs="Calibri"/>
          <w:b/>
          <w:bCs/>
          <w:sz w:val="32"/>
          <w:szCs w:val="32"/>
        </w:rPr>
        <w:lastRenderedPageBreak/>
        <w:t>Research Summary</w:t>
      </w:r>
    </w:p>
    <w:p w:rsidR="007226E6" w:rsidRPr="00B96CC3" w:rsidRDefault="00332678">
      <w:pPr>
        <w:pStyle w:val="Body"/>
        <w:rPr>
          <w:rFonts w:ascii="Calibri" w:eastAsia="Calibri" w:hAnsi="Calibri" w:cs="Calibri"/>
          <w:sz w:val="24"/>
          <w:szCs w:val="24"/>
        </w:rPr>
      </w:pPr>
      <w:r w:rsidRPr="00B96CC3">
        <w:rPr>
          <w:rFonts w:ascii="Calibri" w:eastAsia="Calibri" w:hAnsi="Calibri" w:cs="Calibri"/>
          <w:sz w:val="24"/>
          <w:szCs w:val="24"/>
        </w:rPr>
        <w:t xml:space="preserve">I </w:t>
      </w:r>
      <w:r w:rsidR="002006A9" w:rsidRPr="00B96CC3">
        <w:rPr>
          <w:rFonts w:ascii="Calibri" w:eastAsia="Calibri" w:hAnsi="Calibri" w:cs="Calibri"/>
          <w:sz w:val="24"/>
          <w:szCs w:val="24"/>
        </w:rPr>
        <w:t xml:space="preserve">will investigate the dynamic </w:t>
      </w:r>
      <w:r w:rsidR="009F3133">
        <w:rPr>
          <w:rFonts w:ascii="Calibri" w:eastAsia="Calibri" w:hAnsi="Calibri" w:cs="Calibri"/>
          <w:sz w:val="24"/>
          <w:szCs w:val="24"/>
        </w:rPr>
        <w:t>processing of mRNA and</w:t>
      </w:r>
      <w:r w:rsidR="002006A9" w:rsidRPr="00B96CC3">
        <w:rPr>
          <w:rFonts w:ascii="Calibri" w:eastAsia="Calibri" w:hAnsi="Calibri" w:cs="Calibri"/>
          <w:sz w:val="24"/>
          <w:szCs w:val="24"/>
        </w:rPr>
        <w:t xml:space="preserve"> gene expression profiles of </w:t>
      </w:r>
      <w:r w:rsidR="008E2B62">
        <w:rPr>
          <w:rFonts w:ascii="Calibri" w:eastAsia="Calibri" w:hAnsi="Calibri" w:cs="Calibri"/>
          <w:i/>
          <w:sz w:val="24"/>
          <w:szCs w:val="24"/>
        </w:rPr>
        <w:t xml:space="preserve">Cryptococcus </w:t>
      </w:r>
      <w:r w:rsidR="002006A9" w:rsidRPr="00B96CC3">
        <w:rPr>
          <w:rFonts w:ascii="Calibri" w:eastAsia="Calibri" w:hAnsi="Calibri" w:cs="Calibri"/>
          <w:i/>
          <w:sz w:val="24"/>
          <w:szCs w:val="24"/>
        </w:rPr>
        <w:t>neoformans</w:t>
      </w:r>
      <w:r w:rsidR="002006A9" w:rsidRPr="00B96CC3">
        <w:rPr>
          <w:rFonts w:ascii="Calibri" w:eastAsia="Calibri" w:hAnsi="Calibri" w:cs="Calibri"/>
          <w:sz w:val="24"/>
          <w:szCs w:val="24"/>
        </w:rPr>
        <w:t xml:space="preserve"> in response to environmental s</w:t>
      </w:r>
      <w:r w:rsidRPr="00B96CC3">
        <w:rPr>
          <w:rFonts w:ascii="Calibri" w:eastAsia="Calibri" w:hAnsi="Calibri" w:cs="Calibri"/>
          <w:sz w:val="24"/>
          <w:szCs w:val="24"/>
        </w:rPr>
        <w:t>timuli</w:t>
      </w:r>
      <w:r w:rsidR="002006A9" w:rsidRPr="00B96CC3">
        <w:rPr>
          <w:rFonts w:ascii="Calibri" w:eastAsia="Calibri" w:hAnsi="Calibri" w:cs="Calibri"/>
          <w:sz w:val="24"/>
          <w:szCs w:val="24"/>
        </w:rPr>
        <w:t xml:space="preserve">. </w:t>
      </w:r>
      <w:r w:rsidR="007226E6" w:rsidRPr="00B96CC3">
        <w:rPr>
          <w:rFonts w:ascii="Calibri" w:eastAsia="Calibri" w:hAnsi="Calibri" w:cs="Calibri"/>
          <w:i/>
          <w:sz w:val="24"/>
          <w:szCs w:val="24"/>
        </w:rPr>
        <w:t>C. neoformans</w:t>
      </w:r>
      <w:r w:rsidR="007226E6" w:rsidRPr="00B96CC3">
        <w:rPr>
          <w:rFonts w:ascii="Calibri" w:eastAsia="Calibri" w:hAnsi="Calibri" w:cs="Calibri"/>
          <w:sz w:val="24"/>
          <w:szCs w:val="24"/>
        </w:rPr>
        <w:t xml:space="preserve"> is a fungus that lives in the environment and </w:t>
      </w:r>
      <w:r w:rsidR="008E2B62">
        <w:rPr>
          <w:rFonts w:ascii="Calibri" w:eastAsia="Calibri" w:hAnsi="Calibri" w:cs="Calibri"/>
          <w:sz w:val="24"/>
          <w:szCs w:val="24"/>
        </w:rPr>
        <w:t xml:space="preserve">infects </w:t>
      </w:r>
      <w:r w:rsidR="007226E6" w:rsidRPr="00B96CC3">
        <w:rPr>
          <w:rFonts w:ascii="Calibri" w:eastAsia="Calibri" w:hAnsi="Calibri" w:cs="Calibri"/>
          <w:sz w:val="24"/>
          <w:szCs w:val="24"/>
        </w:rPr>
        <w:t xml:space="preserve">people </w:t>
      </w:r>
      <w:r w:rsidR="00AD0FD6">
        <w:rPr>
          <w:rFonts w:ascii="Calibri" w:eastAsia="Calibri" w:hAnsi="Calibri" w:cs="Calibri"/>
          <w:sz w:val="24"/>
          <w:szCs w:val="24"/>
        </w:rPr>
        <w:t>through inhalation of</w:t>
      </w:r>
      <w:r w:rsidR="008E2B62">
        <w:rPr>
          <w:rFonts w:ascii="Calibri" w:eastAsia="Calibri" w:hAnsi="Calibri" w:cs="Calibri"/>
          <w:sz w:val="24"/>
          <w:szCs w:val="24"/>
        </w:rPr>
        <w:t xml:space="preserve"> spores/</w:t>
      </w:r>
      <w:r w:rsidR="007226E6" w:rsidRPr="00B96CC3">
        <w:rPr>
          <w:rFonts w:ascii="Calibri" w:eastAsia="Calibri" w:hAnsi="Calibri" w:cs="Calibri"/>
          <w:sz w:val="24"/>
          <w:szCs w:val="24"/>
        </w:rPr>
        <w:t>desiccated yeast cells. Infection is rare in healthy individuals and most cases occur in individuals who have a weakened immune system. Infection of the lung causes a pneumonia-like illness, however, if it spreads to the brain</w:t>
      </w:r>
      <w:r w:rsidR="008E2B62">
        <w:rPr>
          <w:rFonts w:ascii="Calibri" w:eastAsia="Calibri" w:hAnsi="Calibri" w:cs="Calibri"/>
          <w:sz w:val="24"/>
          <w:szCs w:val="24"/>
        </w:rPr>
        <w:t>,</w:t>
      </w:r>
      <w:r w:rsidR="007226E6" w:rsidRPr="00B96CC3">
        <w:rPr>
          <w:rFonts w:ascii="Calibri" w:eastAsia="Calibri" w:hAnsi="Calibri" w:cs="Calibri"/>
          <w:sz w:val="24"/>
          <w:szCs w:val="24"/>
        </w:rPr>
        <w:t xml:space="preserve"> life-threatening meningitis can occur</w:t>
      </w:r>
      <w:r w:rsidR="008E2B62">
        <w:rPr>
          <w:rFonts w:ascii="Calibri" w:eastAsia="Calibri" w:hAnsi="Calibri" w:cs="Calibri"/>
          <w:sz w:val="24"/>
          <w:szCs w:val="24"/>
        </w:rPr>
        <w:t>. I</w:t>
      </w:r>
      <w:r w:rsidR="007226E6" w:rsidRPr="00B96CC3">
        <w:rPr>
          <w:rFonts w:ascii="Calibri" w:eastAsia="Calibri" w:hAnsi="Calibri" w:cs="Calibri"/>
          <w:sz w:val="24"/>
          <w:szCs w:val="24"/>
        </w:rPr>
        <w:t>t is estimated that 223 000 cases occur per annum world-wide resulting in approximately 181 100 deaths.</w:t>
      </w:r>
    </w:p>
    <w:p w:rsidR="007226E6" w:rsidRPr="00B96CC3" w:rsidRDefault="007226E6" w:rsidP="007226E6">
      <w:pPr>
        <w:pStyle w:val="BodyA"/>
        <w:rPr>
          <w:rFonts w:ascii="Calibri" w:eastAsia="Calibri" w:hAnsi="Calibri" w:cs="Calibri"/>
          <w:sz w:val="24"/>
          <w:szCs w:val="24"/>
        </w:rPr>
      </w:pPr>
      <w:r w:rsidRPr="00B96CC3">
        <w:rPr>
          <w:rFonts w:ascii="Calibri" w:eastAsia="Calibri" w:hAnsi="Calibri" w:cs="Calibri"/>
          <w:b/>
          <w:sz w:val="24"/>
          <w:szCs w:val="24"/>
          <w:u w:val="single"/>
        </w:rPr>
        <w:t>Aim 1</w:t>
      </w:r>
      <w:r w:rsidRPr="00B96CC3">
        <w:rPr>
          <w:rFonts w:ascii="Calibri" w:eastAsia="Calibri" w:hAnsi="Calibri" w:cs="Calibri"/>
          <w:b/>
          <w:sz w:val="24"/>
          <w:szCs w:val="24"/>
        </w:rPr>
        <w:t xml:space="preserve">: </w:t>
      </w:r>
      <w:r w:rsidR="00C15C47" w:rsidRPr="00B96CC3">
        <w:rPr>
          <w:rFonts w:ascii="Calibri" w:eastAsia="Calibri" w:hAnsi="Calibri" w:cs="Calibri"/>
          <w:sz w:val="24"/>
          <w:szCs w:val="24"/>
        </w:rPr>
        <w:t xml:space="preserve">How does the rapid change in environment from soil/vegetation to a mammalian lung affect the gene regulation of </w:t>
      </w:r>
      <w:r w:rsidR="00C15C47" w:rsidRPr="00B96CC3">
        <w:rPr>
          <w:rFonts w:ascii="Calibri" w:eastAsia="Calibri" w:hAnsi="Calibri" w:cs="Calibri"/>
          <w:i/>
          <w:sz w:val="24"/>
          <w:szCs w:val="24"/>
        </w:rPr>
        <w:t>C. neoformans</w:t>
      </w:r>
      <w:r w:rsidR="00C15C47"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I would like to examine what happens </w:t>
      </w:r>
      <w:r w:rsidR="00332678" w:rsidRPr="00B96CC3">
        <w:rPr>
          <w:rFonts w:ascii="Calibri" w:eastAsia="Calibri" w:hAnsi="Calibri" w:cs="Calibri"/>
          <w:sz w:val="24"/>
          <w:szCs w:val="24"/>
        </w:rPr>
        <w:t>when this fungus</w:t>
      </w:r>
      <w:r w:rsidR="008A150A" w:rsidRPr="00B96CC3">
        <w:rPr>
          <w:rFonts w:ascii="Calibri" w:eastAsia="Calibri" w:hAnsi="Calibri" w:cs="Calibri"/>
          <w:sz w:val="24"/>
          <w:szCs w:val="24"/>
        </w:rPr>
        <w:t xml:space="preserve"> reactivates in a host environment alien to its normal life cycle.</w:t>
      </w:r>
    </w:p>
    <w:p w:rsidR="007226E6" w:rsidRPr="00B96CC3" w:rsidRDefault="007226E6" w:rsidP="009F3133">
      <w:pPr>
        <w:pStyle w:val="BodyA"/>
        <w:rPr>
          <w:rFonts w:ascii="Calibri" w:eastAsia="Calibri" w:hAnsi="Calibri" w:cs="Calibri"/>
          <w:b/>
          <w:sz w:val="24"/>
          <w:szCs w:val="24"/>
        </w:rPr>
      </w:pPr>
      <w:r w:rsidRPr="00B96CC3">
        <w:rPr>
          <w:rFonts w:ascii="Calibri" w:eastAsia="Calibri" w:hAnsi="Calibri" w:cs="Calibri"/>
          <w:b/>
          <w:sz w:val="24"/>
          <w:szCs w:val="24"/>
          <w:u w:val="single"/>
        </w:rPr>
        <w:t>Aim 2</w:t>
      </w:r>
      <w:r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Upon presentation to the lung </w:t>
      </w:r>
      <w:r w:rsidR="008A150A" w:rsidRPr="00B96CC3">
        <w:rPr>
          <w:rFonts w:ascii="Calibri" w:eastAsia="Calibri" w:hAnsi="Calibri" w:cs="Calibri"/>
          <w:i/>
          <w:sz w:val="24"/>
          <w:szCs w:val="24"/>
        </w:rPr>
        <w:t>C. neoformans</w:t>
      </w:r>
      <w:r w:rsidR="008A150A" w:rsidRPr="00B96CC3">
        <w:rPr>
          <w:rFonts w:ascii="Calibri" w:eastAsia="Calibri" w:hAnsi="Calibri" w:cs="Calibri"/>
          <w:sz w:val="24"/>
          <w:szCs w:val="24"/>
        </w:rPr>
        <w:t xml:space="preserve"> will encounter a number of foreign bodies, some of which will be </w:t>
      </w:r>
      <w:r w:rsidR="008E2B62">
        <w:rPr>
          <w:rFonts w:ascii="Calibri" w:eastAsia="Calibri" w:hAnsi="Calibri" w:cs="Calibri"/>
          <w:sz w:val="24"/>
          <w:szCs w:val="24"/>
        </w:rPr>
        <w:t xml:space="preserve">commensal and/or pathogenic </w:t>
      </w:r>
      <w:r w:rsidR="008A150A" w:rsidRPr="00B96CC3">
        <w:rPr>
          <w:rFonts w:ascii="Calibri" w:eastAsia="Calibri" w:hAnsi="Calibri" w:cs="Calibri"/>
          <w:sz w:val="24"/>
          <w:szCs w:val="24"/>
        </w:rPr>
        <w:t>bacteria. I would like to investigate the int</w:t>
      </w:r>
      <w:r w:rsidR="00353038">
        <w:rPr>
          <w:rFonts w:ascii="Calibri" w:eastAsia="Calibri" w:hAnsi="Calibri" w:cs="Calibri"/>
          <w:sz w:val="24"/>
          <w:szCs w:val="24"/>
        </w:rPr>
        <w:t>eraction with components of the bacterial cell wall</w:t>
      </w:r>
      <w:r w:rsidR="008A150A" w:rsidRPr="00B96CC3">
        <w:rPr>
          <w:rFonts w:ascii="Calibri" w:eastAsia="Calibri" w:hAnsi="Calibri" w:cs="Calibri"/>
          <w:sz w:val="24"/>
          <w:szCs w:val="24"/>
        </w:rPr>
        <w:t xml:space="preserve"> to examine what effect this coul</w:t>
      </w:r>
      <w:r w:rsidR="00AD0FD6">
        <w:rPr>
          <w:rFonts w:ascii="Calibri" w:eastAsia="Calibri" w:hAnsi="Calibri" w:cs="Calibri"/>
          <w:sz w:val="24"/>
          <w:szCs w:val="24"/>
        </w:rPr>
        <w:t>d have on the structure</w:t>
      </w:r>
      <w:r w:rsidR="008A150A" w:rsidRPr="00B96CC3">
        <w:rPr>
          <w:rFonts w:ascii="Calibri" w:eastAsia="Calibri" w:hAnsi="Calibri" w:cs="Calibri"/>
          <w:sz w:val="24"/>
          <w:szCs w:val="24"/>
        </w:rPr>
        <w:t xml:space="preserve"> and </w:t>
      </w:r>
      <w:r w:rsidR="00AD0FD6">
        <w:rPr>
          <w:rFonts w:ascii="Calibri" w:eastAsia="Calibri" w:hAnsi="Calibri" w:cs="Calibri"/>
          <w:sz w:val="24"/>
          <w:szCs w:val="24"/>
        </w:rPr>
        <w:t>infectivity</w:t>
      </w:r>
      <w:r w:rsidR="008A150A" w:rsidRPr="00B96CC3">
        <w:rPr>
          <w:rFonts w:ascii="Calibri" w:eastAsia="Calibri" w:hAnsi="Calibri" w:cs="Calibri"/>
          <w:sz w:val="24"/>
          <w:szCs w:val="24"/>
        </w:rPr>
        <w:t xml:space="preserve"> of </w:t>
      </w:r>
      <w:r w:rsidR="008A150A" w:rsidRPr="00B96CC3">
        <w:rPr>
          <w:rFonts w:ascii="Calibri" w:eastAsia="Calibri" w:hAnsi="Calibri" w:cs="Calibri"/>
          <w:i/>
          <w:sz w:val="24"/>
          <w:szCs w:val="24"/>
        </w:rPr>
        <w:t>C. neoformans</w:t>
      </w:r>
      <w:r w:rsidR="008A150A" w:rsidRPr="00B96CC3">
        <w:rPr>
          <w:rFonts w:ascii="Calibri" w:eastAsia="Calibri" w:hAnsi="Calibri" w:cs="Calibri"/>
          <w:sz w:val="24"/>
          <w:szCs w:val="24"/>
        </w:rPr>
        <w:t xml:space="preserve">. </w:t>
      </w:r>
    </w:p>
    <w:p w:rsidR="007226E6" w:rsidRPr="00B96CC3" w:rsidRDefault="007226E6" w:rsidP="007226E6">
      <w:pPr>
        <w:pStyle w:val="BodyA"/>
        <w:rPr>
          <w:rFonts w:ascii="Calibri" w:eastAsia="Calibri" w:hAnsi="Calibri" w:cs="Calibri"/>
          <w:sz w:val="24"/>
          <w:szCs w:val="24"/>
        </w:rPr>
      </w:pPr>
      <w:r w:rsidRPr="00B96CC3">
        <w:rPr>
          <w:rFonts w:ascii="Calibri" w:eastAsia="Calibri" w:hAnsi="Calibri" w:cs="Calibri"/>
          <w:b/>
          <w:sz w:val="24"/>
          <w:szCs w:val="24"/>
          <w:u w:val="single"/>
        </w:rPr>
        <w:t>Aim 3</w:t>
      </w:r>
      <w:r w:rsidRPr="00B96CC3">
        <w:rPr>
          <w:rFonts w:ascii="Calibri" w:eastAsia="Calibri" w:hAnsi="Calibri" w:cs="Calibri"/>
          <w:sz w:val="24"/>
          <w:szCs w:val="24"/>
        </w:rPr>
        <w:t xml:space="preserve">: </w:t>
      </w:r>
      <w:r w:rsidR="008A150A" w:rsidRPr="00B96CC3">
        <w:rPr>
          <w:rFonts w:ascii="Calibri" w:eastAsia="Calibri" w:hAnsi="Calibri" w:cs="Calibri"/>
          <w:sz w:val="24"/>
          <w:szCs w:val="24"/>
        </w:rPr>
        <w:t xml:space="preserve">In the mammalian lung the first line of defense is the mucosal lining of the airways. This contains soluble effector molecules which help eradicate foreign bodies. </w:t>
      </w:r>
      <w:r w:rsidR="004C6FDC" w:rsidRPr="00B96CC3">
        <w:rPr>
          <w:rFonts w:ascii="Calibri" w:eastAsia="Calibri" w:hAnsi="Calibri" w:cs="Calibri"/>
          <w:sz w:val="24"/>
          <w:szCs w:val="24"/>
        </w:rPr>
        <w:t>One such molecule is SP</w:t>
      </w:r>
      <w:r w:rsidR="009F3133">
        <w:rPr>
          <w:rFonts w:ascii="Calibri" w:eastAsia="Calibri" w:hAnsi="Calibri" w:cs="Calibri"/>
          <w:sz w:val="24"/>
          <w:szCs w:val="24"/>
        </w:rPr>
        <w:t xml:space="preserve">-D which has anti-microbial </w:t>
      </w:r>
      <w:r w:rsidR="004C6FDC" w:rsidRPr="00B96CC3">
        <w:rPr>
          <w:rFonts w:ascii="Calibri" w:eastAsia="Calibri" w:hAnsi="Calibri" w:cs="Calibri"/>
          <w:sz w:val="24"/>
          <w:szCs w:val="24"/>
        </w:rPr>
        <w:t>properties</w:t>
      </w:r>
      <w:r w:rsidR="009F3133">
        <w:rPr>
          <w:rFonts w:ascii="Calibri" w:eastAsia="Calibri" w:hAnsi="Calibri" w:cs="Calibri"/>
          <w:sz w:val="24"/>
          <w:szCs w:val="24"/>
        </w:rPr>
        <w:t xml:space="preserve"> and can regulate the immune response</w:t>
      </w:r>
      <w:r w:rsidR="004C6FDC" w:rsidRPr="00B96CC3">
        <w:rPr>
          <w:rFonts w:ascii="Calibri" w:eastAsia="Calibri" w:hAnsi="Calibri" w:cs="Calibri"/>
          <w:sz w:val="24"/>
          <w:szCs w:val="24"/>
        </w:rPr>
        <w:t xml:space="preserve">. SP-D will be one of the first effector molecules to interact with this pathogenic fungus and has been shown to help with its survival. I would like to investigate the binding of this molecule to </w:t>
      </w:r>
      <w:r w:rsidR="004C6FDC" w:rsidRPr="00B96CC3">
        <w:rPr>
          <w:rFonts w:ascii="Calibri" w:eastAsia="Calibri" w:hAnsi="Calibri" w:cs="Calibri"/>
          <w:i/>
          <w:sz w:val="24"/>
          <w:szCs w:val="24"/>
        </w:rPr>
        <w:t>C. neoformans</w:t>
      </w:r>
      <w:r w:rsidR="004C6FDC" w:rsidRPr="00B96CC3">
        <w:rPr>
          <w:rFonts w:ascii="Calibri" w:eastAsia="Calibri" w:hAnsi="Calibri" w:cs="Calibri"/>
          <w:sz w:val="24"/>
          <w:szCs w:val="24"/>
        </w:rPr>
        <w:t xml:space="preserve"> to elucidate what changes occur in the gene expression during this event. </w:t>
      </w:r>
    </w:p>
    <w:p w:rsidR="00672119" w:rsidRPr="00B96CC3" w:rsidRDefault="00672119" w:rsidP="007226E6">
      <w:pPr>
        <w:pStyle w:val="BodyA"/>
        <w:rPr>
          <w:rFonts w:ascii="Calibri" w:eastAsia="Calibri" w:hAnsi="Calibri" w:cs="Calibri"/>
          <w:sz w:val="24"/>
          <w:szCs w:val="24"/>
        </w:rPr>
      </w:pPr>
      <w:r w:rsidRPr="00B96CC3">
        <w:rPr>
          <w:rFonts w:ascii="Calibri" w:eastAsia="Calibri" w:hAnsi="Calibri" w:cs="Calibri"/>
          <w:sz w:val="24"/>
          <w:szCs w:val="24"/>
        </w:rPr>
        <w:t xml:space="preserve">I will measure mRNA processing using </w:t>
      </w:r>
      <w:r w:rsidR="008E2B62">
        <w:rPr>
          <w:rFonts w:ascii="Calibri" w:eastAsia="Calibri" w:hAnsi="Calibri" w:cs="Calibri"/>
          <w:sz w:val="24"/>
          <w:szCs w:val="24"/>
        </w:rPr>
        <w:t>RT-</w:t>
      </w:r>
      <w:r w:rsidR="00BD3215">
        <w:rPr>
          <w:rFonts w:ascii="Calibri" w:eastAsia="Calibri" w:hAnsi="Calibri" w:cs="Calibri"/>
          <w:sz w:val="24"/>
          <w:szCs w:val="24"/>
        </w:rPr>
        <w:t>qPCR</w:t>
      </w:r>
      <w:r w:rsidR="008E2B62">
        <w:rPr>
          <w:rFonts w:ascii="Calibri" w:eastAsia="Calibri" w:hAnsi="Calibri" w:cs="Calibri"/>
          <w:sz w:val="24"/>
          <w:szCs w:val="24"/>
        </w:rPr>
        <w:t xml:space="preserve"> </w:t>
      </w:r>
      <w:r w:rsidRPr="00B96CC3">
        <w:rPr>
          <w:rFonts w:ascii="Calibri" w:eastAsia="Calibri" w:hAnsi="Calibri" w:cs="Calibri"/>
          <w:sz w:val="24"/>
          <w:szCs w:val="24"/>
        </w:rPr>
        <w:t>and further analyze with RNA-seq</w:t>
      </w:r>
      <w:r w:rsidR="00332678" w:rsidRPr="00B96CC3">
        <w:rPr>
          <w:rFonts w:ascii="Calibri" w:eastAsia="Calibri" w:hAnsi="Calibri" w:cs="Calibri"/>
          <w:sz w:val="24"/>
          <w:szCs w:val="24"/>
        </w:rPr>
        <w:t xml:space="preserve">. </w:t>
      </w:r>
      <w:proofErr w:type="gramStart"/>
      <w:r w:rsidR="00332678" w:rsidRPr="00B96CC3">
        <w:rPr>
          <w:rFonts w:ascii="Calibri" w:eastAsia="Calibri" w:hAnsi="Calibri" w:cs="Calibri"/>
          <w:sz w:val="24"/>
          <w:szCs w:val="24"/>
        </w:rPr>
        <w:t>M</w:t>
      </w:r>
      <w:r w:rsidRPr="00B96CC3">
        <w:rPr>
          <w:rFonts w:ascii="Calibri" w:eastAsia="Calibri" w:hAnsi="Calibri" w:cs="Calibri"/>
          <w:sz w:val="24"/>
          <w:szCs w:val="24"/>
        </w:rPr>
        <w:t>easuring</w:t>
      </w:r>
      <w:proofErr w:type="gramEnd"/>
      <w:r w:rsidRPr="00B96CC3">
        <w:rPr>
          <w:rFonts w:ascii="Calibri" w:eastAsia="Calibri" w:hAnsi="Calibri" w:cs="Calibri"/>
          <w:sz w:val="24"/>
          <w:szCs w:val="24"/>
        </w:rPr>
        <w:t xml:space="preserve"> the intermediate step between genes and proteins </w:t>
      </w:r>
      <w:r w:rsidR="00332678" w:rsidRPr="00B96CC3">
        <w:rPr>
          <w:rFonts w:ascii="Calibri" w:eastAsia="Calibri" w:hAnsi="Calibri" w:cs="Calibri"/>
          <w:sz w:val="24"/>
          <w:szCs w:val="24"/>
        </w:rPr>
        <w:t>effectively bridges</w:t>
      </w:r>
      <w:r w:rsidRPr="00B96CC3">
        <w:rPr>
          <w:rFonts w:ascii="Calibri" w:eastAsia="Calibri" w:hAnsi="Calibri" w:cs="Calibri"/>
          <w:sz w:val="24"/>
          <w:szCs w:val="24"/>
        </w:rPr>
        <w:t xml:space="preserve"> the gap between the genetic code and functional proteins. The number of transcripts can be quantified to provide information on the amount of gene activity under a given set of circumstances.</w:t>
      </w:r>
    </w:p>
    <w:p w:rsidR="00F94C7A" w:rsidRPr="00B96CC3" w:rsidRDefault="00F94C7A" w:rsidP="007226E6">
      <w:pPr>
        <w:pStyle w:val="BodyA"/>
        <w:rPr>
          <w:rFonts w:ascii="Calibri" w:eastAsia="Calibri" w:hAnsi="Calibri" w:cs="Calibri"/>
          <w:sz w:val="24"/>
          <w:szCs w:val="24"/>
        </w:rPr>
      </w:pPr>
    </w:p>
    <w:p w:rsidR="00F94C7A" w:rsidRPr="00B96CC3" w:rsidRDefault="00F94C7A" w:rsidP="007226E6">
      <w:pPr>
        <w:pStyle w:val="BodyA"/>
        <w:rPr>
          <w:rFonts w:ascii="Calibri" w:eastAsia="Calibri" w:hAnsi="Calibri" w:cs="Calibri"/>
          <w:sz w:val="24"/>
          <w:szCs w:val="24"/>
        </w:rPr>
      </w:pPr>
    </w:p>
    <w:p w:rsidR="00F94C7A" w:rsidRPr="00B96CC3" w:rsidRDefault="00F94C7A" w:rsidP="007226E6">
      <w:pPr>
        <w:pStyle w:val="BodyA"/>
        <w:rPr>
          <w:rFonts w:ascii="Calibri" w:eastAsia="Calibri" w:hAnsi="Calibri" w:cs="Calibri"/>
          <w:sz w:val="24"/>
          <w:szCs w:val="24"/>
        </w:rPr>
      </w:pPr>
    </w:p>
    <w:p w:rsidR="00F94C7A" w:rsidRPr="00B96CC3" w:rsidRDefault="00F94C7A" w:rsidP="007226E6">
      <w:pPr>
        <w:pStyle w:val="BodyA"/>
        <w:rPr>
          <w:rFonts w:ascii="Calibri" w:eastAsia="Calibri" w:hAnsi="Calibri" w:cs="Calibri"/>
          <w:sz w:val="24"/>
          <w:szCs w:val="24"/>
        </w:rPr>
      </w:pPr>
    </w:p>
    <w:p w:rsidR="00F94C7A" w:rsidRPr="00B96CC3" w:rsidRDefault="00F94C7A" w:rsidP="007226E6">
      <w:pPr>
        <w:pStyle w:val="BodyA"/>
        <w:rPr>
          <w:rFonts w:ascii="Calibri" w:eastAsia="Calibri" w:hAnsi="Calibri" w:cs="Calibri"/>
          <w:sz w:val="24"/>
          <w:szCs w:val="24"/>
        </w:rPr>
      </w:pPr>
    </w:p>
    <w:p w:rsidR="00F94C7A" w:rsidRPr="00B96CC3" w:rsidRDefault="00F94C7A" w:rsidP="007226E6">
      <w:pPr>
        <w:pStyle w:val="BodyA"/>
        <w:rPr>
          <w:rFonts w:ascii="Calibri" w:eastAsia="Calibri" w:hAnsi="Calibri" w:cs="Calibri"/>
          <w:sz w:val="24"/>
          <w:szCs w:val="24"/>
        </w:rPr>
      </w:pPr>
    </w:p>
    <w:p w:rsidR="00F94C7A" w:rsidRPr="00B96CC3" w:rsidRDefault="00BD3215" w:rsidP="007226E6">
      <w:pPr>
        <w:pStyle w:val="BodyA"/>
        <w:rPr>
          <w:rFonts w:ascii="Calibri" w:eastAsia="Calibri" w:hAnsi="Calibri" w:cs="Calibri"/>
          <w:sz w:val="24"/>
          <w:szCs w:val="24"/>
        </w:rPr>
      </w:pPr>
      <w:r>
        <w:rPr>
          <w:rFonts w:ascii="Calibri" w:eastAsia="Calibri" w:hAnsi="Calibri" w:cs="Calibri"/>
          <w:sz w:val="24"/>
          <w:szCs w:val="24"/>
        </w:rPr>
        <w:t>Word count: 335</w:t>
      </w:r>
      <w:r w:rsidR="00332678" w:rsidRPr="00B96CC3">
        <w:rPr>
          <w:rFonts w:ascii="Calibri" w:eastAsia="Calibri" w:hAnsi="Calibri" w:cs="Calibri"/>
          <w:sz w:val="24"/>
          <w:szCs w:val="24"/>
        </w:rPr>
        <w:t xml:space="preserve"> (350)</w:t>
      </w:r>
    </w:p>
    <w:p w:rsidR="00F94C7A" w:rsidRPr="00B96CC3" w:rsidRDefault="00F94C7A">
      <w:pPr>
        <w:rPr>
          <w:rFonts w:ascii="Calibri" w:eastAsia="Calibri" w:hAnsi="Calibri" w:cs="Calibri"/>
          <w:color w:val="000000"/>
          <w:u w:color="000000"/>
          <w:lang w:eastAsia="en-GB"/>
        </w:rPr>
      </w:pPr>
      <w:r w:rsidRPr="00B96CC3">
        <w:rPr>
          <w:rFonts w:ascii="Calibri" w:eastAsia="Calibri" w:hAnsi="Calibri" w:cs="Calibri"/>
        </w:rPr>
        <w:br w:type="page"/>
      </w:r>
    </w:p>
    <w:p w:rsidR="004C6FDC" w:rsidRPr="00B96CC3" w:rsidRDefault="004B04B1" w:rsidP="007226E6">
      <w:pPr>
        <w:pStyle w:val="BodyA"/>
        <w:rPr>
          <w:rFonts w:ascii="Calibri" w:eastAsia="Calibri" w:hAnsi="Calibri" w:cs="Calibri"/>
          <w:b/>
          <w:sz w:val="32"/>
          <w:szCs w:val="32"/>
        </w:rPr>
      </w:pPr>
      <w:r>
        <w:rPr>
          <w:rFonts w:ascii="Calibri" w:eastAsia="Calibri" w:hAnsi="Calibri" w:cs="Calibri"/>
          <w:b/>
          <w:sz w:val="32"/>
          <w:szCs w:val="32"/>
        </w:rPr>
        <w:lastRenderedPageBreak/>
        <w:t>Abstract</w:t>
      </w:r>
    </w:p>
    <w:p w:rsidR="004C6FDC" w:rsidRPr="00B96CC3" w:rsidRDefault="00DD0B4A">
      <w:pPr>
        <w:pStyle w:val="Body"/>
        <w:rPr>
          <w:rFonts w:ascii="Calibri" w:eastAsia="Calibri" w:hAnsi="Calibri" w:cs="Calibri"/>
          <w:sz w:val="24"/>
          <w:szCs w:val="24"/>
        </w:rPr>
      </w:pP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is an acc</w:t>
      </w:r>
      <w:r w:rsidR="00332678" w:rsidRPr="00B96CC3">
        <w:rPr>
          <w:rFonts w:ascii="Calibri" w:eastAsia="Calibri" w:hAnsi="Calibri" w:cs="Calibri"/>
          <w:sz w:val="24"/>
          <w:szCs w:val="24"/>
        </w:rPr>
        <w:t>idental pathogen of mammals. I</w:t>
      </w:r>
      <w:r w:rsidRPr="00B96CC3">
        <w:rPr>
          <w:rFonts w:ascii="Calibri" w:eastAsia="Calibri" w:hAnsi="Calibri" w:cs="Calibri"/>
          <w:sz w:val="24"/>
          <w:szCs w:val="24"/>
        </w:rPr>
        <w:t xml:space="preserve">ts natural life cycle </w:t>
      </w:r>
      <w:r w:rsidR="00332678" w:rsidRPr="00B96CC3">
        <w:rPr>
          <w:rFonts w:ascii="Calibri" w:eastAsia="Calibri" w:hAnsi="Calibri" w:cs="Calibri"/>
          <w:sz w:val="24"/>
          <w:szCs w:val="24"/>
        </w:rPr>
        <w:t xml:space="preserve">is </w:t>
      </w:r>
      <w:r w:rsidR="003030CE" w:rsidRPr="00B96CC3">
        <w:rPr>
          <w:rFonts w:ascii="Calibri" w:eastAsia="Calibri" w:hAnsi="Calibri" w:cs="Calibri"/>
          <w:sz w:val="24"/>
          <w:szCs w:val="24"/>
        </w:rPr>
        <w:t>that of an environmental saprophyte</w:t>
      </w:r>
      <w:r w:rsidRPr="00B96CC3">
        <w:rPr>
          <w:rFonts w:ascii="Calibri" w:eastAsia="Calibri" w:hAnsi="Calibri" w:cs="Calibri"/>
          <w:sz w:val="24"/>
          <w:szCs w:val="24"/>
        </w:rPr>
        <w:t xml:space="preserve">. The mammalian lung is an </w:t>
      </w:r>
      <w:r w:rsidR="008E2B62">
        <w:rPr>
          <w:rFonts w:ascii="Calibri" w:eastAsia="Calibri" w:hAnsi="Calibri" w:cs="Calibri"/>
          <w:sz w:val="24"/>
          <w:szCs w:val="24"/>
        </w:rPr>
        <w:t>alien environment yet somehow this fungus</w:t>
      </w:r>
      <w:r w:rsidRPr="00B96CC3">
        <w:rPr>
          <w:rFonts w:ascii="Calibri" w:eastAsia="Calibri" w:hAnsi="Calibri" w:cs="Calibri"/>
          <w:sz w:val="24"/>
          <w:szCs w:val="24"/>
        </w:rPr>
        <w:t xml:space="preserve"> can circumvent</w:t>
      </w:r>
      <w:r w:rsidR="00332678" w:rsidRPr="00B96CC3">
        <w:rPr>
          <w:rFonts w:ascii="Calibri" w:eastAsia="Calibri" w:hAnsi="Calibri" w:cs="Calibri"/>
          <w:sz w:val="24"/>
          <w:szCs w:val="24"/>
        </w:rPr>
        <w:t xml:space="preserve"> a</w:t>
      </w:r>
      <w:r w:rsidRPr="00B96CC3">
        <w:rPr>
          <w:rFonts w:ascii="Calibri" w:eastAsia="Calibri" w:hAnsi="Calibri" w:cs="Calibri"/>
          <w:sz w:val="24"/>
          <w:szCs w:val="24"/>
        </w:rPr>
        <w:t xml:space="preserve"> myriad of defenses to cause disease. </w:t>
      </w:r>
      <w:r w:rsidR="003030CE" w:rsidRPr="00B96CC3">
        <w:rPr>
          <w:rFonts w:ascii="Calibri" w:eastAsia="Calibri" w:hAnsi="Calibri" w:cs="Calibri"/>
          <w:sz w:val="24"/>
          <w:szCs w:val="24"/>
        </w:rPr>
        <w:t>Upon inhalation into a host</w:t>
      </w:r>
      <w:r w:rsidR="008E2B62">
        <w:rPr>
          <w:rFonts w:ascii="Calibri" w:eastAsia="Calibri" w:hAnsi="Calibri" w:cs="Calibri"/>
          <w:sz w:val="24"/>
          <w:szCs w:val="24"/>
        </w:rPr>
        <w:t>,</w:t>
      </w:r>
      <w:r w:rsidR="003030CE" w:rsidRPr="00B96CC3">
        <w:rPr>
          <w:rFonts w:ascii="Calibri" w:eastAsia="Calibri" w:hAnsi="Calibri" w:cs="Calibri"/>
          <w:sz w:val="24"/>
          <w:szCs w:val="24"/>
        </w:rPr>
        <w:t xml:space="preserve"> </w:t>
      </w:r>
      <w:r w:rsidR="003030CE" w:rsidRPr="00B96CC3">
        <w:rPr>
          <w:rFonts w:ascii="Calibri" w:eastAsia="Calibri" w:hAnsi="Calibri" w:cs="Calibri"/>
          <w:i/>
          <w:sz w:val="24"/>
          <w:szCs w:val="24"/>
        </w:rPr>
        <w:t>Cryptococcus</w:t>
      </w:r>
      <w:r w:rsidR="003030CE" w:rsidRPr="00B96CC3">
        <w:rPr>
          <w:rFonts w:ascii="Calibri" w:eastAsia="Calibri" w:hAnsi="Calibri" w:cs="Calibri"/>
          <w:sz w:val="24"/>
          <w:szCs w:val="24"/>
        </w:rPr>
        <w:t xml:space="preserve"> cells transition from spores/desiccated yeast into actively replicating virulent yeast cells. This transformation must be associated with dynamic regulation of mRNA and hence gene expression. What happens to </w:t>
      </w:r>
      <w:r w:rsidR="003030CE" w:rsidRPr="00B96CC3">
        <w:rPr>
          <w:rFonts w:ascii="Calibri" w:eastAsia="Calibri" w:hAnsi="Calibri" w:cs="Calibri"/>
          <w:i/>
          <w:sz w:val="24"/>
          <w:szCs w:val="24"/>
        </w:rPr>
        <w:t>Cryptococci</w:t>
      </w:r>
      <w:r w:rsidR="003030CE" w:rsidRPr="00B96CC3">
        <w:rPr>
          <w:rFonts w:ascii="Calibri" w:eastAsia="Calibri" w:hAnsi="Calibri" w:cs="Calibri"/>
          <w:sz w:val="24"/>
          <w:szCs w:val="24"/>
        </w:rPr>
        <w:t xml:space="preserve"> when they reactivate within a mammalian host? I would like to investigate this phenomenon in detail during the early stages of infectio</w:t>
      </w:r>
      <w:r w:rsidR="00332678" w:rsidRPr="00B96CC3">
        <w:rPr>
          <w:rFonts w:ascii="Calibri" w:eastAsia="Calibri" w:hAnsi="Calibri" w:cs="Calibri"/>
          <w:sz w:val="24"/>
          <w:szCs w:val="24"/>
        </w:rPr>
        <w:t xml:space="preserve">n. </w:t>
      </w:r>
      <w:r w:rsidR="003030CE" w:rsidRPr="00B96CC3">
        <w:rPr>
          <w:rFonts w:ascii="Calibri" w:eastAsia="Calibri" w:hAnsi="Calibri" w:cs="Calibri"/>
          <w:sz w:val="24"/>
          <w:szCs w:val="24"/>
        </w:rPr>
        <w:t xml:space="preserve">I will use quantitative and qualitative methods </w:t>
      </w:r>
      <w:r w:rsidR="00332678" w:rsidRPr="00B96CC3">
        <w:rPr>
          <w:rFonts w:ascii="Calibri" w:eastAsia="Calibri" w:hAnsi="Calibri" w:cs="Calibri"/>
          <w:sz w:val="24"/>
          <w:szCs w:val="24"/>
        </w:rPr>
        <w:t xml:space="preserve">to examine differential gene expression of </w:t>
      </w:r>
      <w:r w:rsidR="00332678" w:rsidRPr="00B96CC3">
        <w:rPr>
          <w:rFonts w:ascii="Calibri" w:eastAsia="Calibri" w:hAnsi="Calibri" w:cs="Calibri"/>
          <w:i/>
          <w:sz w:val="24"/>
          <w:szCs w:val="24"/>
        </w:rPr>
        <w:t>Cryptococcus</w:t>
      </w:r>
      <w:r w:rsidR="00332678" w:rsidRPr="00B96CC3">
        <w:rPr>
          <w:rFonts w:ascii="Calibri" w:eastAsia="Calibri" w:hAnsi="Calibri" w:cs="Calibri"/>
          <w:sz w:val="24"/>
          <w:szCs w:val="24"/>
        </w:rPr>
        <w:t xml:space="preserve"> under different environmental stimuli. Gene expression profiles represent a snapshot of cellular metabolism at the molecular level and </w:t>
      </w:r>
      <w:r w:rsidR="00F94C7A" w:rsidRPr="00B96CC3">
        <w:rPr>
          <w:rFonts w:ascii="Calibri" w:eastAsia="Calibri" w:hAnsi="Calibri" w:cs="Calibri"/>
          <w:sz w:val="24"/>
          <w:szCs w:val="24"/>
        </w:rPr>
        <w:t>may provide insights into novel therapeutic methods for drug discovery.</w:t>
      </w:r>
    </w:p>
    <w:p w:rsidR="004C6FDC" w:rsidRPr="00B96CC3" w:rsidRDefault="004C6FDC">
      <w:pPr>
        <w:pStyle w:val="Body"/>
        <w:rPr>
          <w:rFonts w:ascii="Calibri" w:eastAsia="Calibri" w:hAnsi="Calibri" w:cs="Calibri"/>
          <w:sz w:val="24"/>
          <w:szCs w:val="24"/>
        </w:rPr>
      </w:pPr>
    </w:p>
    <w:p w:rsidR="004C6FDC" w:rsidRPr="00B96CC3" w:rsidRDefault="004C6FDC">
      <w:pPr>
        <w:pStyle w:val="Body"/>
        <w:rPr>
          <w:rFonts w:ascii="Calibri" w:eastAsia="Calibri" w:hAnsi="Calibri" w:cs="Calibri"/>
          <w:sz w:val="24"/>
          <w:szCs w:val="24"/>
        </w:rPr>
      </w:pPr>
    </w:p>
    <w:p w:rsidR="004C6FDC" w:rsidRPr="00B96CC3" w:rsidRDefault="004C6FDC">
      <w:pPr>
        <w:pStyle w:val="Body"/>
        <w:rPr>
          <w:rFonts w:ascii="Calibri" w:eastAsia="Calibri" w:hAnsi="Calibri" w:cs="Calibri"/>
          <w:sz w:val="24"/>
          <w:szCs w:val="24"/>
        </w:rPr>
      </w:pPr>
    </w:p>
    <w:p w:rsidR="004C6FDC" w:rsidRPr="00B96CC3" w:rsidRDefault="004C6FDC">
      <w:pPr>
        <w:pStyle w:val="Body"/>
        <w:rPr>
          <w:rFonts w:ascii="Calibri" w:eastAsia="Calibri" w:hAnsi="Calibri" w:cs="Calibri"/>
          <w:sz w:val="24"/>
          <w:szCs w:val="24"/>
        </w:rPr>
      </w:pPr>
    </w:p>
    <w:p w:rsidR="004C6FDC" w:rsidRPr="00B96CC3" w:rsidRDefault="004C6FDC">
      <w:pPr>
        <w:pStyle w:val="Body"/>
        <w:rPr>
          <w:rFonts w:ascii="Calibri" w:eastAsia="Calibri" w:hAnsi="Calibri" w:cs="Calibri"/>
          <w:sz w:val="24"/>
          <w:szCs w:val="24"/>
        </w:rPr>
      </w:pPr>
    </w:p>
    <w:p w:rsidR="004C6FDC" w:rsidRPr="00B96CC3" w:rsidRDefault="004C6FDC">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94C7A" w:rsidRPr="00B96CC3" w:rsidRDefault="00F94C7A">
      <w:pPr>
        <w:pStyle w:val="Body"/>
        <w:rPr>
          <w:rFonts w:ascii="Calibri" w:eastAsia="Calibri" w:hAnsi="Calibri" w:cs="Calibri"/>
          <w:sz w:val="24"/>
          <w:szCs w:val="24"/>
        </w:rPr>
      </w:pPr>
    </w:p>
    <w:p w:rsidR="00F13CA2" w:rsidRDefault="00F13CA2" w:rsidP="00F94C7A">
      <w:pPr>
        <w:pStyle w:val="Body"/>
        <w:rPr>
          <w:rFonts w:ascii="Calibri" w:eastAsia="Calibri" w:hAnsi="Calibri" w:cs="Calibri"/>
          <w:sz w:val="24"/>
          <w:szCs w:val="24"/>
        </w:rPr>
      </w:pPr>
    </w:p>
    <w:p w:rsidR="00F13CA2" w:rsidRDefault="004C6FDC" w:rsidP="00F94C7A">
      <w:pPr>
        <w:pStyle w:val="Body"/>
        <w:rPr>
          <w:rFonts w:ascii="Calibri" w:eastAsia="Calibri" w:hAnsi="Calibri" w:cs="Calibri"/>
          <w:sz w:val="24"/>
          <w:szCs w:val="24"/>
        </w:rPr>
      </w:pPr>
      <w:r w:rsidRPr="00B96CC3">
        <w:rPr>
          <w:rFonts w:ascii="Calibri" w:eastAsia="Calibri" w:hAnsi="Calibri" w:cs="Calibri"/>
          <w:sz w:val="24"/>
          <w:szCs w:val="24"/>
        </w:rPr>
        <w:t xml:space="preserve">Word Count: </w:t>
      </w:r>
      <w:r w:rsidR="008E2B62">
        <w:rPr>
          <w:rFonts w:ascii="Calibri" w:eastAsia="Calibri" w:hAnsi="Calibri" w:cs="Calibri"/>
          <w:sz w:val="24"/>
          <w:szCs w:val="24"/>
        </w:rPr>
        <w:t>137</w:t>
      </w:r>
      <w:r w:rsidRPr="00B96CC3">
        <w:rPr>
          <w:rFonts w:ascii="Calibri" w:eastAsia="Calibri" w:hAnsi="Calibri" w:cs="Calibri"/>
          <w:sz w:val="24"/>
          <w:szCs w:val="24"/>
        </w:rPr>
        <w:t xml:space="preserve"> </w:t>
      </w:r>
      <w:r w:rsidR="00332678" w:rsidRPr="00B96CC3">
        <w:rPr>
          <w:rFonts w:ascii="Calibri" w:eastAsia="Calibri" w:hAnsi="Calibri" w:cs="Calibri"/>
          <w:sz w:val="24"/>
          <w:szCs w:val="24"/>
        </w:rPr>
        <w:t>(150)</w:t>
      </w:r>
    </w:p>
    <w:p w:rsidR="000341EA" w:rsidRDefault="00812FFE" w:rsidP="00F13CA2">
      <w:pPr>
        <w:rPr>
          <w:rFonts w:ascii="Calibri" w:eastAsia="Calibri" w:hAnsi="Calibri" w:cs="Calibri"/>
          <w:b/>
          <w:sz w:val="32"/>
          <w:szCs w:val="32"/>
        </w:rPr>
      </w:pPr>
      <w:r w:rsidRPr="00B96CC3">
        <w:rPr>
          <w:rFonts w:ascii="Calibri" w:eastAsia="Calibri" w:hAnsi="Calibri" w:cs="Calibri"/>
          <w:b/>
          <w:sz w:val="32"/>
          <w:szCs w:val="32"/>
        </w:rPr>
        <w:lastRenderedPageBreak/>
        <w:t xml:space="preserve">Host </w:t>
      </w:r>
      <w:r w:rsidR="004C6FDC" w:rsidRPr="00B96CC3">
        <w:rPr>
          <w:rFonts w:ascii="Calibri" w:eastAsia="Calibri" w:hAnsi="Calibri" w:cs="Calibri"/>
          <w:b/>
          <w:sz w:val="32"/>
          <w:szCs w:val="32"/>
        </w:rPr>
        <w:t>Organization</w:t>
      </w:r>
    </w:p>
    <w:p w:rsidR="00936CFE" w:rsidRPr="00F13CA2" w:rsidRDefault="00936CFE" w:rsidP="00F13CA2">
      <w:pPr>
        <w:rPr>
          <w:rFonts w:ascii="Calibri" w:eastAsia="Calibri" w:hAnsi="Calibri" w:cs="Calibri"/>
          <w:color w:val="000000"/>
          <w:u w:color="000000"/>
          <w:lang w:eastAsia="en-GB"/>
        </w:rPr>
      </w:pPr>
    </w:p>
    <w:p w:rsidR="00E04910"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The University of Edinburgh is one of the world’s top universities, ranked 18</w:t>
      </w:r>
      <w:r w:rsidRPr="00B96CC3">
        <w:rPr>
          <w:rFonts w:ascii="Calibri" w:eastAsia="Calibri" w:hAnsi="Calibri" w:cs="Calibri"/>
          <w:sz w:val="24"/>
          <w:szCs w:val="24"/>
          <w:vertAlign w:val="superscript"/>
        </w:rPr>
        <w:t>th</w:t>
      </w:r>
      <w:r w:rsidRPr="00B96CC3">
        <w:rPr>
          <w:rFonts w:ascii="Calibri" w:eastAsia="Calibri" w:hAnsi="Calibri" w:cs="Calibri"/>
          <w:sz w:val="24"/>
          <w:szCs w:val="24"/>
        </w:rPr>
        <w:t xml:space="preserve"> in the world, 5</w:t>
      </w:r>
      <w:r w:rsidRPr="00B96CC3">
        <w:rPr>
          <w:rFonts w:ascii="Calibri" w:eastAsia="Calibri" w:hAnsi="Calibri" w:cs="Calibri"/>
          <w:sz w:val="24"/>
          <w:szCs w:val="24"/>
          <w:vertAlign w:val="superscript"/>
        </w:rPr>
        <w:t>th</w:t>
      </w:r>
      <w:r w:rsidRPr="00B96CC3">
        <w:rPr>
          <w:rFonts w:ascii="Calibri" w:eastAsia="Calibri" w:hAnsi="Calibri" w:cs="Calibri"/>
          <w:sz w:val="24"/>
          <w:szCs w:val="24"/>
        </w:rPr>
        <w:t xml:space="preserve"> in the UK and the top university in Scotland. As one of the UK’s leading research facilities Edinburgh University provides a state-of-the-art environment for cellular and molecular biology. </w:t>
      </w:r>
    </w:p>
    <w:p w:rsidR="00E04910"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The Centre for Synthetic and Systems Biology</w:t>
      </w:r>
      <w:r w:rsidR="00E04910" w:rsidRPr="00B96CC3">
        <w:rPr>
          <w:rFonts w:ascii="Calibri" w:eastAsia="Calibri" w:hAnsi="Calibri" w:cs="Calibri"/>
          <w:sz w:val="24"/>
          <w:szCs w:val="24"/>
        </w:rPr>
        <w:t>, in the Institute for Cell Biology,</w:t>
      </w:r>
      <w:r w:rsidRPr="00B96CC3">
        <w:rPr>
          <w:rFonts w:ascii="Calibri" w:eastAsia="Calibri" w:hAnsi="Calibri" w:cs="Calibri"/>
          <w:sz w:val="24"/>
          <w:szCs w:val="24"/>
        </w:rPr>
        <w:t xml:space="preserve"> is a unique inter-disciplinary environment with a track record for multi-disc</w:t>
      </w:r>
      <w:r w:rsidR="004165D6">
        <w:rPr>
          <w:rFonts w:ascii="Calibri" w:eastAsia="Calibri" w:hAnsi="Calibri" w:cs="Calibri"/>
          <w:sz w:val="24"/>
          <w:szCs w:val="24"/>
        </w:rPr>
        <w:t>iplinary research. Included is t</w:t>
      </w:r>
      <w:r w:rsidRPr="00B96CC3">
        <w:rPr>
          <w:rFonts w:ascii="Calibri" w:eastAsia="Calibri" w:hAnsi="Calibri" w:cs="Calibri"/>
          <w:sz w:val="24"/>
          <w:szCs w:val="24"/>
        </w:rPr>
        <w:t xml:space="preserve">he </w:t>
      </w:r>
      <w:r w:rsidR="00D63774">
        <w:rPr>
          <w:rFonts w:ascii="Calibri" w:eastAsia="Calibri" w:hAnsi="Calibri" w:cs="Calibri"/>
          <w:sz w:val="24"/>
          <w:szCs w:val="24"/>
        </w:rPr>
        <w:t xml:space="preserve">Edinburgh </w:t>
      </w:r>
      <w:r w:rsidRPr="00B96CC3">
        <w:rPr>
          <w:rFonts w:ascii="Calibri" w:eastAsia="Calibri" w:hAnsi="Calibri" w:cs="Calibri"/>
          <w:sz w:val="24"/>
          <w:szCs w:val="24"/>
        </w:rPr>
        <w:t>Genome F</w:t>
      </w:r>
      <w:r w:rsidR="00E04910" w:rsidRPr="00B96CC3">
        <w:rPr>
          <w:rFonts w:ascii="Calibri" w:eastAsia="Calibri" w:hAnsi="Calibri" w:cs="Calibri"/>
          <w:sz w:val="24"/>
          <w:szCs w:val="24"/>
        </w:rPr>
        <w:t>oundry</w:t>
      </w:r>
      <w:r w:rsidRPr="00B96CC3">
        <w:rPr>
          <w:rFonts w:ascii="Calibri" w:eastAsia="Calibri" w:hAnsi="Calibri" w:cs="Calibri"/>
          <w:sz w:val="24"/>
          <w:szCs w:val="24"/>
        </w:rPr>
        <w:t xml:space="preserve"> </w:t>
      </w:r>
      <w:r w:rsidR="00E04910" w:rsidRPr="00B96CC3">
        <w:rPr>
          <w:rFonts w:ascii="Calibri" w:eastAsia="Calibri" w:hAnsi="Calibri" w:cs="Calibri"/>
          <w:sz w:val="24"/>
          <w:szCs w:val="24"/>
        </w:rPr>
        <w:t>(</w:t>
      </w:r>
      <w:r w:rsidRPr="00B96CC3">
        <w:rPr>
          <w:rFonts w:ascii="Calibri" w:eastAsia="Calibri" w:hAnsi="Calibri" w:cs="Calibri"/>
          <w:sz w:val="24"/>
          <w:szCs w:val="24"/>
        </w:rPr>
        <w:t>a world class facility for automated DNA design and assembly</w:t>
      </w:r>
      <w:r w:rsidR="00E04910" w:rsidRPr="00B96CC3">
        <w:rPr>
          <w:rFonts w:ascii="Calibri" w:eastAsia="Calibri" w:hAnsi="Calibri" w:cs="Calibri"/>
          <w:sz w:val="24"/>
          <w:szCs w:val="24"/>
        </w:rPr>
        <w:t xml:space="preserve">) and </w:t>
      </w:r>
      <w:proofErr w:type="spellStart"/>
      <w:r w:rsidR="00E04910" w:rsidRPr="00B96CC3">
        <w:rPr>
          <w:rFonts w:ascii="Calibri" w:eastAsia="Calibri" w:hAnsi="Calibri" w:cs="Calibri"/>
          <w:sz w:val="24"/>
          <w:szCs w:val="24"/>
        </w:rPr>
        <w:t>EdinOmics</w:t>
      </w:r>
      <w:proofErr w:type="spellEnd"/>
      <w:r w:rsidR="00E04910" w:rsidRPr="00B96CC3">
        <w:rPr>
          <w:rFonts w:ascii="Calibri" w:eastAsia="Calibri" w:hAnsi="Calibri" w:cs="Calibri"/>
          <w:sz w:val="24"/>
          <w:szCs w:val="24"/>
        </w:rPr>
        <w:t xml:space="preserve"> providing expertise in quantitative biochemistry including up-</w:t>
      </w:r>
      <w:r w:rsidRPr="00B96CC3">
        <w:rPr>
          <w:rFonts w:ascii="Calibri" w:eastAsia="Calibri" w:hAnsi="Calibri" w:cs="Calibri"/>
          <w:sz w:val="24"/>
          <w:szCs w:val="24"/>
        </w:rPr>
        <w:t xml:space="preserve">scaling and automation of </w:t>
      </w:r>
      <w:r w:rsidR="00BD3215">
        <w:rPr>
          <w:rFonts w:ascii="Calibri" w:eastAsia="Calibri" w:hAnsi="Calibri" w:cs="Calibri"/>
          <w:sz w:val="24"/>
          <w:szCs w:val="24"/>
        </w:rPr>
        <w:t>RT-</w:t>
      </w:r>
      <w:r w:rsidRPr="00B96CC3">
        <w:rPr>
          <w:rFonts w:ascii="Calibri" w:eastAsia="Calibri" w:hAnsi="Calibri" w:cs="Calibri"/>
          <w:sz w:val="24"/>
          <w:szCs w:val="24"/>
        </w:rPr>
        <w:t>qPCR</w:t>
      </w:r>
      <w:r w:rsidR="00E04910" w:rsidRPr="00B96CC3">
        <w:rPr>
          <w:rFonts w:ascii="Calibri" w:eastAsia="Calibri" w:hAnsi="Calibri" w:cs="Calibri"/>
          <w:sz w:val="24"/>
          <w:szCs w:val="24"/>
        </w:rPr>
        <w:t>. There are facilit</w:t>
      </w:r>
      <w:r w:rsidR="004165D6">
        <w:rPr>
          <w:rFonts w:ascii="Calibri" w:eastAsia="Calibri" w:hAnsi="Calibri" w:cs="Calibri"/>
          <w:sz w:val="24"/>
          <w:szCs w:val="24"/>
        </w:rPr>
        <w:t>ies for cell imaging (LEAP and s</w:t>
      </w:r>
      <w:r w:rsidR="00E04910" w:rsidRPr="00B96CC3">
        <w:rPr>
          <w:rFonts w:ascii="Calibri" w:eastAsia="Calibri" w:hAnsi="Calibri" w:cs="Calibri"/>
          <w:sz w:val="24"/>
          <w:szCs w:val="24"/>
        </w:rPr>
        <w:t>ingle cell analysis and microscopy groups) and facilities for innovative data analysis and mechanistic modelling.</w:t>
      </w:r>
    </w:p>
    <w:p w:rsidR="00951876" w:rsidRPr="00B96CC3" w:rsidRDefault="00951876" w:rsidP="00951876">
      <w:pPr>
        <w:pStyle w:val="BodyA"/>
        <w:rPr>
          <w:rFonts w:ascii="Calibri" w:eastAsia="Calibri" w:hAnsi="Calibri" w:cs="Calibri"/>
          <w:sz w:val="24"/>
          <w:szCs w:val="24"/>
        </w:rPr>
      </w:pPr>
      <w:r w:rsidRPr="00B96CC3">
        <w:rPr>
          <w:rFonts w:ascii="Calibri" w:eastAsia="Calibri" w:hAnsi="Calibri" w:cs="Calibri"/>
          <w:sz w:val="24"/>
          <w:szCs w:val="24"/>
        </w:rPr>
        <w:t>Dr. Edward Wallace, of the institute for Cell</w:t>
      </w:r>
      <w:r w:rsidR="004165D6">
        <w:rPr>
          <w:rFonts w:ascii="Calibri" w:eastAsia="Calibri" w:hAnsi="Calibri" w:cs="Calibri"/>
          <w:sz w:val="24"/>
          <w:szCs w:val="24"/>
        </w:rPr>
        <w:t xml:space="preserve"> Biology</w:t>
      </w:r>
      <w:r w:rsidRPr="00B96CC3">
        <w:rPr>
          <w:rFonts w:ascii="Calibri" w:eastAsia="Calibri" w:hAnsi="Calibri" w:cs="Calibri"/>
          <w:sz w:val="24"/>
          <w:szCs w:val="24"/>
        </w:rPr>
        <w:t>, has agreed to be my supervisor for the duration o</w:t>
      </w:r>
      <w:r w:rsidR="009F3133">
        <w:rPr>
          <w:rFonts w:ascii="Calibri" w:eastAsia="Calibri" w:hAnsi="Calibri" w:cs="Calibri"/>
          <w:sz w:val="24"/>
          <w:szCs w:val="24"/>
        </w:rPr>
        <w:t>f the fellowship. Dr. Wallace is</w:t>
      </w:r>
      <w:r w:rsidRPr="00B96CC3">
        <w:rPr>
          <w:rFonts w:ascii="Calibri" w:eastAsia="Calibri" w:hAnsi="Calibri" w:cs="Calibri"/>
          <w:sz w:val="24"/>
          <w:szCs w:val="24"/>
        </w:rPr>
        <w:t xml:space="preserve"> a renowned RNA scientist and working with him will allow me to build on my existing skills in the fie</w:t>
      </w:r>
      <w:r w:rsidR="009F3133">
        <w:rPr>
          <w:rFonts w:ascii="Calibri" w:eastAsia="Calibri" w:hAnsi="Calibri" w:cs="Calibri"/>
          <w:sz w:val="24"/>
          <w:szCs w:val="24"/>
        </w:rPr>
        <w:t>ld of molecular biology whilst</w:t>
      </w:r>
      <w:r w:rsidRPr="00B96CC3">
        <w:rPr>
          <w:rFonts w:ascii="Calibri" w:eastAsia="Calibri" w:hAnsi="Calibri" w:cs="Calibri"/>
          <w:sz w:val="24"/>
          <w:szCs w:val="24"/>
        </w:rPr>
        <w:t xml:space="preserve"> learn</w:t>
      </w:r>
      <w:r w:rsidR="009F3133">
        <w:rPr>
          <w:rFonts w:ascii="Calibri" w:eastAsia="Calibri" w:hAnsi="Calibri" w:cs="Calibri"/>
          <w:sz w:val="24"/>
          <w:szCs w:val="24"/>
        </w:rPr>
        <w:t>ing</w:t>
      </w:r>
      <w:r w:rsidRPr="00B96CC3">
        <w:rPr>
          <w:rFonts w:ascii="Calibri" w:eastAsia="Calibri" w:hAnsi="Calibri" w:cs="Calibri"/>
          <w:sz w:val="24"/>
          <w:szCs w:val="24"/>
        </w:rPr>
        <w:t xml:space="preserve"> new techniques including high throughput </w:t>
      </w:r>
      <w:r w:rsidR="00BD3215">
        <w:rPr>
          <w:rFonts w:ascii="Calibri" w:eastAsia="Calibri" w:hAnsi="Calibri" w:cs="Calibri"/>
          <w:sz w:val="24"/>
          <w:szCs w:val="24"/>
        </w:rPr>
        <w:t>RT-</w:t>
      </w:r>
      <w:r w:rsidRPr="00B96CC3">
        <w:rPr>
          <w:rFonts w:ascii="Calibri" w:eastAsia="Calibri" w:hAnsi="Calibri" w:cs="Calibri"/>
          <w:sz w:val="24"/>
          <w:szCs w:val="24"/>
        </w:rPr>
        <w:t xml:space="preserve">qPCR, </w:t>
      </w:r>
      <w:r w:rsidR="008E2B62">
        <w:rPr>
          <w:rFonts w:ascii="Calibri" w:eastAsia="Calibri" w:hAnsi="Calibri" w:cs="Calibri"/>
          <w:sz w:val="24"/>
          <w:szCs w:val="24"/>
        </w:rPr>
        <w:t xml:space="preserve">cDNA library preparation and </w:t>
      </w:r>
      <w:r w:rsidRPr="00B96CC3">
        <w:rPr>
          <w:rFonts w:ascii="Calibri" w:eastAsia="Calibri" w:hAnsi="Calibri" w:cs="Calibri"/>
          <w:sz w:val="24"/>
          <w:szCs w:val="24"/>
        </w:rPr>
        <w:t>high throughput sequencing (</w:t>
      </w:r>
      <w:r w:rsidR="008E2B62">
        <w:rPr>
          <w:rFonts w:ascii="Calibri" w:eastAsia="Calibri" w:hAnsi="Calibri" w:cs="Calibri"/>
          <w:sz w:val="24"/>
          <w:szCs w:val="24"/>
        </w:rPr>
        <w:t>RNA-seq)</w:t>
      </w:r>
      <w:r w:rsidRPr="00B96CC3">
        <w:rPr>
          <w:rFonts w:ascii="Calibri" w:eastAsia="Calibri" w:hAnsi="Calibri" w:cs="Calibri"/>
          <w:sz w:val="24"/>
          <w:szCs w:val="24"/>
        </w:rPr>
        <w:t>, lab automation, bioinformatics (using R-programming) and working with large data sets. This will provide me with crucial work experience in one of Scotland’s world-class universities and equip me with specific skills in high demand in biomedical research and biotech industries.</w:t>
      </w:r>
      <w:r w:rsidR="00226DDC" w:rsidRPr="00B96CC3">
        <w:rPr>
          <w:rFonts w:ascii="Calibri" w:eastAsia="Calibri" w:hAnsi="Calibri" w:cs="Calibri"/>
          <w:sz w:val="24"/>
          <w:szCs w:val="24"/>
        </w:rPr>
        <w:t xml:space="preserve"> </w:t>
      </w:r>
      <w:r w:rsidR="008E2B62">
        <w:rPr>
          <w:rFonts w:ascii="Calibri" w:eastAsia="Calibri" w:hAnsi="Calibri" w:cs="Calibri"/>
          <w:sz w:val="24"/>
          <w:szCs w:val="24"/>
        </w:rPr>
        <w:t xml:space="preserve">Dr. </w:t>
      </w:r>
      <w:proofErr w:type="spellStart"/>
      <w:r w:rsidR="00226DDC" w:rsidRPr="00B96CC3">
        <w:rPr>
          <w:rFonts w:ascii="Calibri" w:eastAsia="Calibri" w:hAnsi="Calibri" w:cs="Calibri"/>
          <w:sz w:val="24"/>
          <w:szCs w:val="24"/>
        </w:rPr>
        <w:t>Rosey</w:t>
      </w:r>
      <w:proofErr w:type="spellEnd"/>
      <w:r w:rsidR="00226DDC" w:rsidRPr="00B96CC3">
        <w:rPr>
          <w:rFonts w:ascii="Calibri" w:eastAsia="Calibri" w:hAnsi="Calibri" w:cs="Calibri"/>
          <w:sz w:val="24"/>
          <w:szCs w:val="24"/>
        </w:rPr>
        <w:t xml:space="preserve"> Bayne (PDRA/Lab Manager) has 30 years of experience in molecular biology techniques and will be invaluable during my re-training and introduction to new concepts and technologies. </w:t>
      </w:r>
    </w:p>
    <w:p w:rsidR="00226DDC" w:rsidRPr="00B96CC3" w:rsidRDefault="00BE7BAB" w:rsidP="00951876">
      <w:pPr>
        <w:pStyle w:val="BodyA"/>
        <w:rPr>
          <w:rFonts w:ascii="Calibri" w:eastAsia="Calibri" w:hAnsi="Calibri" w:cs="Calibri"/>
          <w:sz w:val="24"/>
          <w:szCs w:val="24"/>
        </w:rPr>
      </w:pPr>
      <w:r w:rsidRPr="00B96CC3">
        <w:rPr>
          <w:rFonts w:ascii="Calibri" w:eastAsia="Calibri" w:hAnsi="Calibri" w:cs="Calibri"/>
          <w:sz w:val="24"/>
          <w:szCs w:val="24"/>
        </w:rPr>
        <w:t>Edinburgh University supports academic and personal development through the Institute for Academic Development. This program provides support, learning and research development opportunities throughout the year</w:t>
      </w:r>
      <w:r w:rsidR="004165D6">
        <w:rPr>
          <w:rFonts w:ascii="Calibri" w:eastAsia="Calibri" w:hAnsi="Calibri" w:cs="Calibri"/>
          <w:sz w:val="24"/>
          <w:szCs w:val="24"/>
        </w:rPr>
        <w:t>,</w:t>
      </w:r>
      <w:r w:rsidRPr="00B96CC3">
        <w:rPr>
          <w:rFonts w:ascii="Calibri" w:eastAsia="Calibri" w:hAnsi="Calibri" w:cs="Calibri"/>
          <w:sz w:val="24"/>
          <w:szCs w:val="24"/>
        </w:rPr>
        <w:t xml:space="preserve"> including workshops, courses, online resources, networking and advice. These include </w:t>
      </w:r>
      <w:r w:rsidR="009C4697" w:rsidRPr="00B96CC3">
        <w:rPr>
          <w:rFonts w:ascii="Calibri" w:eastAsia="Calibri" w:hAnsi="Calibri" w:cs="Calibri"/>
          <w:sz w:val="24"/>
          <w:szCs w:val="24"/>
        </w:rPr>
        <w:t>workshops and courses on academic writing, career management and development, data management, funding opportunities, ethics, teaching and supervising students. During my fellowship I intend to make full use of these resources to enhance my personal and professional qualifications to help advance my career.</w:t>
      </w:r>
      <w:r w:rsidR="00936CFE">
        <w:rPr>
          <w:rFonts w:ascii="Calibri" w:eastAsia="Calibri" w:hAnsi="Calibri" w:cs="Calibri"/>
          <w:sz w:val="24"/>
          <w:szCs w:val="24"/>
        </w:rPr>
        <w:t xml:space="preserve"> Within the Institute for Cell Biology there is also a very dynamic seminar series covering a wide range of topics from internal and external speakers.</w:t>
      </w:r>
    </w:p>
    <w:p w:rsidR="00E04910" w:rsidRPr="00B96CC3" w:rsidRDefault="00936CFE" w:rsidP="00936CFE">
      <w:pPr>
        <w:pStyle w:val="BodyA"/>
        <w:rPr>
          <w:rFonts w:ascii="Calibri" w:eastAsia="Calibri" w:hAnsi="Calibri" w:cs="Calibri"/>
          <w:sz w:val="24"/>
          <w:szCs w:val="24"/>
        </w:rPr>
      </w:pPr>
      <w:r>
        <w:rPr>
          <w:rFonts w:ascii="Calibri" w:eastAsia="Calibri" w:hAnsi="Calibri" w:cs="Calibri"/>
          <w:b/>
          <w:sz w:val="24"/>
          <w:szCs w:val="24"/>
        </w:rPr>
        <w:t>Supervisor:</w:t>
      </w:r>
      <w:r>
        <w:rPr>
          <w:rFonts w:ascii="Calibri" w:eastAsia="Calibri" w:hAnsi="Calibri" w:cs="Calibri"/>
          <w:b/>
          <w:sz w:val="24"/>
          <w:szCs w:val="24"/>
        </w:rPr>
        <w:tab/>
      </w:r>
      <w:r w:rsidR="00812FFE" w:rsidRPr="00B96CC3">
        <w:rPr>
          <w:rFonts w:ascii="Calibri" w:eastAsia="Calibri" w:hAnsi="Calibri" w:cs="Calibri"/>
          <w:sz w:val="24"/>
          <w:szCs w:val="24"/>
        </w:rPr>
        <w:t>Dr. Edward Wallace.</w:t>
      </w:r>
    </w:p>
    <w:p w:rsidR="00E04910" w:rsidRPr="00B96CC3" w:rsidRDefault="00936CFE" w:rsidP="009C4697">
      <w:pPr>
        <w:pStyle w:val="BodyA"/>
        <w:spacing w:line="24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sidR="00812FFE" w:rsidRPr="00B96CC3">
        <w:rPr>
          <w:rFonts w:ascii="Calibri" w:eastAsia="Calibri" w:hAnsi="Calibri" w:cs="Calibri"/>
          <w:sz w:val="24"/>
          <w:szCs w:val="24"/>
        </w:rPr>
        <w:t>Sir Henry Dale Fellow (</w:t>
      </w:r>
      <w:proofErr w:type="spellStart"/>
      <w:r w:rsidR="00812FFE" w:rsidRPr="00B96CC3">
        <w:rPr>
          <w:rFonts w:ascii="Calibri" w:eastAsia="Calibri" w:hAnsi="Calibri" w:cs="Calibri"/>
          <w:sz w:val="24"/>
          <w:szCs w:val="24"/>
        </w:rPr>
        <w:t>Wellcome</w:t>
      </w:r>
      <w:proofErr w:type="spellEnd"/>
      <w:r w:rsidR="00812FFE" w:rsidRPr="00B96CC3">
        <w:rPr>
          <w:rFonts w:ascii="Calibri" w:eastAsia="Calibri" w:hAnsi="Calibri" w:cs="Calibri"/>
          <w:sz w:val="24"/>
          <w:szCs w:val="24"/>
        </w:rPr>
        <w:t xml:space="preserve"> Trust/Royal Society Early Career Research Fellow).</w:t>
      </w:r>
    </w:p>
    <w:p w:rsidR="00E04910" w:rsidRPr="00B96CC3" w:rsidRDefault="00936CFE" w:rsidP="009C4697">
      <w:pPr>
        <w:pStyle w:val="BodyA"/>
        <w:spacing w:line="240" w:lineRule="auto"/>
        <w:rPr>
          <w:rFonts w:ascii="Calibri" w:eastAsia="Calibri" w:hAnsi="Calibri" w:cs="Calibri"/>
          <w:sz w:val="24"/>
          <w:szCs w:val="24"/>
        </w:rPr>
      </w:pPr>
      <w:r>
        <w:rPr>
          <w:rFonts w:ascii="Calibri" w:eastAsia="Calibri" w:hAnsi="Calibri" w:cs="Calibri"/>
          <w:sz w:val="24"/>
          <w:szCs w:val="24"/>
        </w:rPr>
        <w:tab/>
      </w:r>
      <w:r>
        <w:rPr>
          <w:rFonts w:ascii="Calibri" w:eastAsia="Calibri" w:hAnsi="Calibri" w:cs="Calibri"/>
          <w:sz w:val="24"/>
          <w:szCs w:val="24"/>
        </w:rPr>
        <w:tab/>
      </w:r>
      <w:r w:rsidR="00812FFE" w:rsidRPr="00B96CC3">
        <w:rPr>
          <w:rFonts w:ascii="Calibri" w:eastAsia="Calibri" w:hAnsi="Calibri" w:cs="Calibri"/>
          <w:sz w:val="24"/>
          <w:szCs w:val="24"/>
        </w:rPr>
        <w:t>Institute for Cell Biology, School of Biological Sciences, Edinburgh University.</w:t>
      </w:r>
    </w:p>
    <w:p w:rsidR="00F13CA2" w:rsidRDefault="00E04910" w:rsidP="00936CFE">
      <w:pPr>
        <w:pStyle w:val="BodyA"/>
        <w:rPr>
          <w:rFonts w:ascii="Calibri" w:eastAsia="Calibri" w:hAnsi="Calibri" w:cs="Calibri"/>
          <w:color w:val="000000" w:themeColor="text1"/>
          <w:sz w:val="24"/>
          <w:szCs w:val="24"/>
        </w:rPr>
      </w:pPr>
      <w:r w:rsidRPr="00B96CC3">
        <w:rPr>
          <w:rFonts w:ascii="Calibri" w:eastAsia="Calibri" w:hAnsi="Calibri" w:cs="Calibri"/>
          <w:b/>
          <w:sz w:val="24"/>
          <w:szCs w:val="24"/>
        </w:rPr>
        <w:t>Relevant collaborations:</w:t>
      </w:r>
      <w:r w:rsidR="00936CFE">
        <w:rPr>
          <w:rFonts w:ascii="Calibri" w:eastAsia="Calibri" w:hAnsi="Calibri" w:cs="Calibri"/>
          <w:b/>
          <w:sz w:val="24"/>
          <w:szCs w:val="24"/>
        </w:rPr>
        <w:tab/>
      </w:r>
      <w:r w:rsidR="00936CFE">
        <w:rPr>
          <w:rFonts w:ascii="Calibri" w:eastAsia="Calibri" w:hAnsi="Calibri" w:cs="Calibri"/>
          <w:color w:val="000000" w:themeColor="text1"/>
          <w:sz w:val="24"/>
          <w:szCs w:val="24"/>
        </w:rPr>
        <w:t>Dr. Elizabeth</w:t>
      </w:r>
      <w:r w:rsidR="00936CFE" w:rsidRPr="00936CFE">
        <w:rPr>
          <w:rFonts w:ascii="Calibri" w:eastAsia="Calibri" w:hAnsi="Calibri" w:cs="Calibri"/>
          <w:color w:val="000000" w:themeColor="text1"/>
          <w:sz w:val="24"/>
          <w:szCs w:val="24"/>
        </w:rPr>
        <w:t xml:space="preserve"> Ballou</w:t>
      </w:r>
      <w:r w:rsidR="00936CFE">
        <w:rPr>
          <w:rFonts w:ascii="Calibri" w:eastAsia="Calibri" w:hAnsi="Calibri" w:cs="Calibri"/>
          <w:color w:val="000000" w:themeColor="text1"/>
          <w:sz w:val="24"/>
          <w:szCs w:val="24"/>
        </w:rPr>
        <w:t>.</w:t>
      </w:r>
    </w:p>
    <w:p w:rsidR="00936CFE" w:rsidRDefault="00936CFE">
      <w:pPr>
        <w:pStyle w:val="Body"/>
        <w:rPr>
          <w:rFonts w:ascii="Calibri" w:eastAsia="Calibri" w:hAnsi="Calibri" w:cs="Calibri"/>
          <w:color w:val="000000" w:themeColor="text1"/>
          <w:sz w:val="24"/>
          <w:szCs w:val="24"/>
        </w:rPr>
      </w:pPr>
      <w:r>
        <w:rPr>
          <w:rFonts w:ascii="Calibri" w:eastAsia="Calibri" w:hAnsi="Calibri" w:cs="Calibri"/>
          <w:color w:val="000000" w:themeColor="text1"/>
          <w:sz w:val="24"/>
          <w:szCs w:val="24"/>
        </w:rPr>
        <w:tab/>
      </w:r>
      <w:r>
        <w:rPr>
          <w:rFonts w:ascii="Calibri" w:eastAsia="Calibri" w:hAnsi="Calibri" w:cs="Calibri"/>
          <w:color w:val="000000" w:themeColor="text1"/>
          <w:sz w:val="24"/>
          <w:szCs w:val="24"/>
        </w:rPr>
        <w:tab/>
      </w:r>
      <w:r>
        <w:rPr>
          <w:rFonts w:ascii="Calibri" w:eastAsia="Calibri" w:hAnsi="Calibri" w:cs="Calibri"/>
          <w:color w:val="000000" w:themeColor="text1"/>
          <w:sz w:val="24"/>
          <w:szCs w:val="24"/>
        </w:rPr>
        <w:tab/>
      </w:r>
      <w:r>
        <w:rPr>
          <w:rFonts w:ascii="Calibri" w:eastAsia="Calibri" w:hAnsi="Calibri" w:cs="Calibri"/>
          <w:color w:val="000000" w:themeColor="text1"/>
          <w:sz w:val="24"/>
          <w:szCs w:val="24"/>
        </w:rPr>
        <w:tab/>
      </w:r>
      <w:r w:rsidRPr="00936CFE">
        <w:rPr>
          <w:rFonts w:ascii="Calibri" w:eastAsia="Calibri" w:hAnsi="Calibri" w:cs="Calibri"/>
          <w:color w:val="000000" w:themeColor="text1"/>
          <w:sz w:val="24"/>
          <w:szCs w:val="24"/>
        </w:rPr>
        <w:t>BBSRC AFL Fellow</w:t>
      </w:r>
      <w:r>
        <w:rPr>
          <w:rFonts w:ascii="Calibri" w:eastAsia="Calibri" w:hAnsi="Calibri" w:cs="Calibri"/>
          <w:color w:val="000000" w:themeColor="text1"/>
          <w:sz w:val="24"/>
          <w:szCs w:val="24"/>
        </w:rPr>
        <w:t>.</w:t>
      </w:r>
    </w:p>
    <w:p w:rsidR="00936CFE" w:rsidRPr="00936CFE" w:rsidRDefault="00936CFE">
      <w:pPr>
        <w:pStyle w:val="Body"/>
        <w:rPr>
          <w:rFonts w:ascii="Calibri" w:eastAsia="Calibri" w:hAnsi="Calibri" w:cs="Calibri"/>
          <w:color w:val="000000" w:themeColor="text1"/>
          <w:sz w:val="24"/>
          <w:szCs w:val="24"/>
        </w:rPr>
      </w:pPr>
      <w:r>
        <w:rPr>
          <w:rFonts w:ascii="Calibri" w:eastAsia="Calibri" w:hAnsi="Calibri" w:cs="Calibri"/>
          <w:color w:val="000000" w:themeColor="text1"/>
          <w:sz w:val="24"/>
          <w:szCs w:val="24"/>
        </w:rPr>
        <w:tab/>
      </w:r>
      <w:r>
        <w:rPr>
          <w:rFonts w:ascii="Calibri" w:eastAsia="Calibri" w:hAnsi="Calibri" w:cs="Calibri"/>
          <w:color w:val="000000" w:themeColor="text1"/>
          <w:sz w:val="24"/>
          <w:szCs w:val="24"/>
        </w:rPr>
        <w:tab/>
      </w:r>
      <w:r>
        <w:rPr>
          <w:rFonts w:ascii="Calibri" w:eastAsia="Calibri" w:hAnsi="Calibri" w:cs="Calibri"/>
          <w:color w:val="000000" w:themeColor="text1"/>
          <w:sz w:val="24"/>
          <w:szCs w:val="24"/>
        </w:rPr>
        <w:tab/>
      </w:r>
      <w:r>
        <w:rPr>
          <w:rFonts w:ascii="Calibri" w:eastAsia="Calibri" w:hAnsi="Calibri" w:cs="Calibri"/>
          <w:color w:val="000000" w:themeColor="text1"/>
          <w:sz w:val="24"/>
          <w:szCs w:val="24"/>
        </w:rPr>
        <w:tab/>
      </w:r>
      <w:r w:rsidRPr="00936CFE">
        <w:rPr>
          <w:rFonts w:ascii="Calibri" w:eastAsia="Calibri" w:hAnsi="Calibri" w:cs="Calibri"/>
          <w:color w:val="000000" w:themeColor="text1"/>
          <w:sz w:val="24"/>
          <w:szCs w:val="24"/>
        </w:rPr>
        <w:t>School of Biosciences</w:t>
      </w:r>
      <w:r>
        <w:rPr>
          <w:rFonts w:ascii="Calibri" w:eastAsia="Calibri" w:hAnsi="Calibri" w:cs="Calibri"/>
          <w:color w:val="000000" w:themeColor="text1"/>
          <w:sz w:val="24"/>
          <w:szCs w:val="24"/>
        </w:rPr>
        <w:t>, University of Birmingham.</w:t>
      </w:r>
    </w:p>
    <w:p w:rsidR="0053306F" w:rsidRPr="00B96CC3" w:rsidRDefault="004C6FDC">
      <w:pPr>
        <w:pStyle w:val="Body"/>
        <w:rPr>
          <w:rFonts w:ascii="Calibri" w:eastAsia="Calibri" w:hAnsi="Calibri" w:cs="Calibri"/>
          <w:sz w:val="24"/>
          <w:szCs w:val="24"/>
        </w:rPr>
        <w:sectPr w:rsidR="0053306F" w:rsidRPr="00B96CC3">
          <w:headerReference w:type="default" r:id="rId8"/>
          <w:footerReference w:type="default" r:id="rId9"/>
          <w:pgSz w:w="11900" w:h="16840"/>
          <w:pgMar w:top="1134" w:right="1134" w:bottom="1134" w:left="1134" w:header="709" w:footer="850" w:gutter="0"/>
          <w:cols w:space="720"/>
        </w:sectPr>
      </w:pPr>
      <w:r w:rsidRPr="00B96CC3">
        <w:rPr>
          <w:rFonts w:ascii="Calibri" w:eastAsia="Calibri" w:hAnsi="Calibri" w:cs="Calibri"/>
          <w:sz w:val="24"/>
          <w:szCs w:val="24"/>
        </w:rPr>
        <w:t>Word Count:</w:t>
      </w:r>
      <w:r w:rsidR="004B04B1">
        <w:rPr>
          <w:rFonts w:ascii="Calibri" w:eastAsia="Calibri" w:hAnsi="Calibri" w:cs="Calibri"/>
          <w:sz w:val="24"/>
          <w:szCs w:val="24"/>
        </w:rPr>
        <w:t xml:space="preserve"> 395</w:t>
      </w:r>
      <w:r w:rsidR="00F94C7A" w:rsidRPr="00B96CC3">
        <w:rPr>
          <w:rFonts w:ascii="Calibri" w:eastAsia="Calibri" w:hAnsi="Calibri" w:cs="Calibri"/>
          <w:sz w:val="24"/>
          <w:szCs w:val="24"/>
        </w:rPr>
        <w:t xml:space="preserve"> (400)</w:t>
      </w:r>
    </w:p>
    <w:p w:rsidR="004165D6" w:rsidRDefault="00C847F6" w:rsidP="00C847F6">
      <w:pPr>
        <w:pStyle w:val="BodyA"/>
        <w:jc w:val="center"/>
        <w:rPr>
          <w:rFonts w:ascii="Calibri" w:eastAsia="Calibri" w:hAnsi="Calibri" w:cs="Calibri"/>
          <w:sz w:val="24"/>
          <w:szCs w:val="24"/>
        </w:rPr>
      </w:pPr>
      <w:r w:rsidRPr="00C847F6">
        <w:rPr>
          <w:noProof/>
          <w:lang w:val="en-GB"/>
        </w:rPr>
        <w:lastRenderedPageBreak/>
        <w:drawing>
          <wp:inline distT="0" distB="0" distL="0" distR="0">
            <wp:extent cx="9253220" cy="4711856"/>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53220" cy="4711856"/>
                    </a:xfrm>
                    <a:prstGeom prst="rect">
                      <a:avLst/>
                    </a:prstGeom>
                    <a:noFill/>
                    <a:ln>
                      <a:noFill/>
                    </a:ln>
                  </pic:spPr>
                </pic:pic>
              </a:graphicData>
            </a:graphic>
          </wp:inline>
        </w:drawing>
      </w:r>
    </w:p>
    <w:p w:rsidR="00C415BC" w:rsidRDefault="00C847F6" w:rsidP="00CF4F2B">
      <w:pPr>
        <w:pStyle w:val="BodyA"/>
        <w:rPr>
          <w:rFonts w:ascii="Calibri" w:eastAsia="Calibri" w:hAnsi="Calibri" w:cs="Calibri"/>
          <w:sz w:val="24"/>
          <w:szCs w:val="24"/>
        </w:rPr>
        <w:sectPr w:rsidR="00C415BC" w:rsidSect="0023753B">
          <w:pgSz w:w="16840" w:h="11900" w:orient="landscape"/>
          <w:pgMar w:top="851" w:right="1134" w:bottom="1134" w:left="1134" w:header="709" w:footer="850" w:gutter="0"/>
          <w:cols w:space="720"/>
          <w:docGrid w:linePitch="326"/>
        </w:sectPr>
      </w:pPr>
      <w:r>
        <w:rPr>
          <w:rFonts w:ascii="Calibri" w:eastAsia="Calibri" w:hAnsi="Calibri" w:cs="Calibri"/>
          <w:sz w:val="24"/>
          <w:szCs w:val="24"/>
        </w:rPr>
        <w:t>Word Count: 390</w:t>
      </w:r>
      <w:r w:rsidR="00C415BC">
        <w:rPr>
          <w:rFonts w:ascii="Calibri" w:eastAsia="Calibri" w:hAnsi="Calibri" w:cs="Calibri"/>
          <w:sz w:val="24"/>
          <w:szCs w:val="24"/>
        </w:rPr>
        <w:t xml:space="preserve"> (400)</w:t>
      </w:r>
    </w:p>
    <w:p w:rsidR="000341EA" w:rsidRPr="00B96CC3" w:rsidRDefault="00A525CE">
      <w:pPr>
        <w:pStyle w:val="BodyA"/>
        <w:rPr>
          <w:rFonts w:ascii="Calibri" w:eastAsia="Calibri" w:hAnsi="Calibri" w:cs="Calibri"/>
          <w:b/>
          <w:sz w:val="32"/>
          <w:szCs w:val="32"/>
        </w:rPr>
      </w:pPr>
      <w:r w:rsidRPr="00A525CE">
        <w:rPr>
          <w:rFonts w:ascii="Calibri" w:eastAsia="Calibri" w:hAnsi="Calibri" w:cs="Calibri"/>
          <w:b/>
          <w:sz w:val="32"/>
          <w:szCs w:val="32"/>
        </w:rPr>
        <w:lastRenderedPageBreak/>
        <w:t>Dynamic mRNA processing i</w:t>
      </w:r>
      <w:r>
        <w:rPr>
          <w:rFonts w:ascii="Calibri" w:eastAsia="Calibri" w:hAnsi="Calibri" w:cs="Calibri"/>
          <w:b/>
          <w:sz w:val="32"/>
          <w:szCs w:val="32"/>
        </w:rPr>
        <w:t xml:space="preserve">n response to environmental </w:t>
      </w:r>
      <w:r w:rsidRPr="00A525CE">
        <w:rPr>
          <w:rFonts w:ascii="Calibri" w:eastAsia="Calibri" w:hAnsi="Calibri" w:cs="Calibri"/>
          <w:b/>
          <w:sz w:val="32"/>
          <w:szCs w:val="32"/>
        </w:rPr>
        <w:t xml:space="preserve">stimuli in the fungal pathogen </w:t>
      </w:r>
      <w:r w:rsidRPr="00936CFE">
        <w:rPr>
          <w:rFonts w:ascii="Calibri" w:eastAsia="Calibri" w:hAnsi="Calibri" w:cs="Calibri"/>
          <w:b/>
          <w:i/>
          <w:sz w:val="32"/>
          <w:szCs w:val="32"/>
        </w:rPr>
        <w:t>Cryptococcus neoformans</w:t>
      </w:r>
      <w:r w:rsidRPr="00A525CE">
        <w:rPr>
          <w:rFonts w:ascii="Calibri" w:eastAsia="Calibri" w:hAnsi="Calibri" w:cs="Calibri"/>
          <w:b/>
          <w:sz w:val="32"/>
          <w:szCs w:val="32"/>
        </w:rPr>
        <w:t>.</w:t>
      </w:r>
    </w:p>
    <w:p w:rsidR="00D63774" w:rsidRPr="00B96CC3" w:rsidRDefault="00D63774" w:rsidP="00D63774">
      <w:pPr>
        <w:pStyle w:val="BodyA"/>
        <w:rPr>
          <w:rFonts w:ascii="Calibri" w:eastAsia="Calibri" w:hAnsi="Calibri" w:cs="Calibri"/>
          <w:b/>
          <w:sz w:val="24"/>
          <w:szCs w:val="24"/>
        </w:rPr>
      </w:pPr>
      <w:r w:rsidRPr="00B96CC3">
        <w:rPr>
          <w:rFonts w:ascii="Calibri" w:eastAsia="Calibri" w:hAnsi="Calibri" w:cs="Calibri"/>
          <w:b/>
          <w:sz w:val="24"/>
          <w:szCs w:val="24"/>
          <w:u w:val="single"/>
        </w:rPr>
        <w:t>Background</w:t>
      </w:r>
      <w:r w:rsidRPr="00B96CC3">
        <w:rPr>
          <w:rFonts w:ascii="Calibri" w:eastAsia="Calibri" w:hAnsi="Calibri" w:cs="Calibri"/>
          <w:b/>
          <w:sz w:val="24"/>
          <w:szCs w:val="24"/>
        </w:rPr>
        <w:t>:</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i/>
          <w:sz w:val="24"/>
          <w:szCs w:val="24"/>
        </w:rPr>
        <w:t>C. neoformans</w:t>
      </w:r>
      <w:r w:rsidR="009D0AC4">
        <w:rPr>
          <w:rFonts w:ascii="Calibri" w:eastAsia="Calibri" w:hAnsi="Calibri" w:cs="Calibri"/>
          <w:sz w:val="24"/>
          <w:szCs w:val="24"/>
        </w:rPr>
        <w:t xml:space="preserve"> is an opportunistic </w:t>
      </w:r>
      <w:r w:rsidRPr="00B96CC3">
        <w:rPr>
          <w:rFonts w:ascii="Calibri" w:eastAsia="Calibri" w:hAnsi="Calibri" w:cs="Calibri"/>
          <w:sz w:val="24"/>
          <w:szCs w:val="24"/>
        </w:rPr>
        <w:t xml:space="preserve">facultative pathogen and the causative agent of cryptococcosis. </w:t>
      </w:r>
      <w:r w:rsidRPr="00B96CC3">
        <w:rPr>
          <w:rStyle w:val="FootnoteReference"/>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{"citationItems":[{"id":"ITEM-1","itemData":{"DOI":"10.1097/QAD.0b013e328322ffac","ISSN":"0269-9370","author":[{"dropping-particle":"","family":"Park","given":"Benjamin J","non-dropping-particle":"","parse-names":false,"suffix":""},{"dropping-particle":"","family":"Wannemuehler","given":"Kathleen A","non-dropping-particle":"","parse-names":false,"suffix":""},{"dropping-particle":"","family":"Marston","given":"Barbara J","non-dropping-particle":"","parse-names":false,"suffix":""},{"dropping-particle":"","family":"Govender","given":"Nelesh","non-dropping-particle":"","parse-names":false,"suffix":""},{"dropping-particle":"","family":"Pappas","given":"Peter G","non-dropping-particle":"","parse-names":false,"suffix":""},{"dropping-particle":"","family":"Chiller","given":"Tom M","non-dropping-particle":"","parse-names":false,"suffix":""}],"container-title":"AIDS","id":"ITEM-1","issue":"4","issued":{"date-parts":[["2009","2"]]},"page":"525-530","title":"Estimation of the current global burden of cryptococcal meningitis among persons living with HIV/AIDS","type":"article-journal","volume":"23"},"uris":["http://www.mendeley.com/documents/?uuid=9ff619e3-7b68-395d-9e3b-5e1a668288bc"]},{"id":"ITEM-2","itemData":{"DOI":"10.1097/QAD.0b013e328322ffc3","ISSN":"0269-9370","author":[{"dropping-particle":"","family":"Harrison","given":"Thomas S","non-dropping-particle":"","parse-names":false,"suffix":""}],"container-title":"AIDS","id":"ITEM-2","issue":"4","issued":{"date-parts":[["2009","2"]]},"page":"531-532","title":"The burden of HIV-associated cryptococcal disease","type":"article-journal","volume":"23"},"uris":["http://www.mendeley.com/documents/?uuid=8a6ffd7a-8ee1-3c45-8c1b-8b931f53dabc"]}],"mendeley":{"formattedCitation":"&lt;sup&gt;4,5&lt;/sup&gt;","plainTextFormattedCitation":"4,5","previouslyFormattedCitation":"&lt;sup&gt;4,5&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Pr="00D63774">
        <w:rPr>
          <w:rFonts w:ascii="Calibri" w:eastAsia="Calibri" w:hAnsi="Calibri" w:cs="Calibri"/>
          <w:bCs/>
          <w:noProof/>
          <w:sz w:val="24"/>
          <w:szCs w:val="24"/>
          <w:vertAlign w:val="superscript"/>
        </w:rPr>
        <w:t>4,5</w:t>
      </w:r>
      <w:r w:rsidRPr="00B96CC3">
        <w:rPr>
          <w:rStyle w:val="FootnoteReference"/>
          <w:rFonts w:ascii="Calibri" w:eastAsia="Calibri" w:hAnsi="Calibri" w:cs="Calibri"/>
          <w:sz w:val="24"/>
          <w:szCs w:val="24"/>
        </w:rPr>
        <w:fldChar w:fldCharType="end"/>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w:t>
      </w:r>
      <w:r>
        <w:rPr>
          <w:rFonts w:ascii="Calibri" w:eastAsia="Calibri" w:hAnsi="Calibri" w:cs="Calibri"/>
          <w:sz w:val="24"/>
          <w:szCs w:val="24"/>
        </w:rPr>
        <w:t>is</w:t>
      </w:r>
      <w:r w:rsidRPr="00B96CC3">
        <w:rPr>
          <w:rFonts w:ascii="Calibri" w:eastAsia="Calibri" w:hAnsi="Calibri" w:cs="Calibri"/>
          <w:sz w:val="24"/>
          <w:szCs w:val="24"/>
        </w:rPr>
        <w:t xml:space="preserve"> typically associated with pigeon guano, soil and decaying wood. It is a free living fungus with no requirement for mammalian virulence, however, it is able to adapt, survive and proliferate within a mammalian host to cause disea</w:t>
      </w:r>
      <w:r>
        <w:rPr>
          <w:rFonts w:ascii="Calibri" w:eastAsia="Calibri" w:hAnsi="Calibri" w:cs="Calibri"/>
          <w:sz w:val="24"/>
          <w:szCs w:val="24"/>
        </w:rPr>
        <w:t>se.</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The natural ecology and disease progression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is well characterized, however, few </w:t>
      </w:r>
      <w:r w:rsidR="009D0AC4">
        <w:rPr>
          <w:rFonts w:ascii="Calibri" w:eastAsia="Calibri" w:hAnsi="Calibri" w:cs="Calibri"/>
          <w:sz w:val="24"/>
          <w:szCs w:val="24"/>
        </w:rPr>
        <w:t xml:space="preserve">studies have examined </w:t>
      </w:r>
      <w:r w:rsidRPr="00B96CC3">
        <w:rPr>
          <w:rFonts w:ascii="Calibri" w:eastAsia="Calibri" w:hAnsi="Calibri" w:cs="Calibri"/>
          <w:sz w:val="24"/>
          <w:szCs w:val="24"/>
        </w:rPr>
        <w:t xml:space="preserve">the differential gene expression and regulation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during early stages of infection. The ability to investigate the genetic response to environmental stimuli is a powerful tool to elucidate the adaptive response/responses required for this accidental pathogen to survive in a hostile environment. I would like to examine in detail what happens when this organi</w:t>
      </w:r>
      <w:r>
        <w:rPr>
          <w:rFonts w:ascii="Calibri" w:eastAsia="Calibri" w:hAnsi="Calibri" w:cs="Calibri"/>
          <w:sz w:val="24"/>
          <w:szCs w:val="24"/>
        </w:rPr>
        <w:t>sm reactivates within the lung</w:t>
      </w:r>
      <w:r w:rsidRPr="00B96CC3">
        <w:rPr>
          <w:rFonts w:ascii="Calibri" w:eastAsia="Calibri" w:hAnsi="Calibri" w:cs="Calibri"/>
          <w:sz w:val="24"/>
          <w:szCs w:val="24"/>
        </w:rPr>
        <w:t>.</w:t>
      </w:r>
    </w:p>
    <w:p w:rsidR="00D63774" w:rsidRPr="00B96CC3" w:rsidRDefault="00D63774" w:rsidP="00D63774">
      <w:pPr>
        <w:pStyle w:val="BodyA"/>
        <w:rPr>
          <w:rFonts w:ascii="Calibri" w:eastAsia="Calibri" w:hAnsi="Calibri" w:cs="Calibri"/>
          <w:sz w:val="24"/>
          <w:szCs w:val="24"/>
        </w:rPr>
      </w:pPr>
    </w:p>
    <w:p w:rsidR="00D63774" w:rsidRPr="002E26A8" w:rsidRDefault="00D63774" w:rsidP="00D63774">
      <w:pPr>
        <w:pStyle w:val="BodyA"/>
        <w:rPr>
          <w:rFonts w:ascii="Calibri" w:eastAsia="Calibri" w:hAnsi="Calibri" w:cs="Calibri"/>
          <w:b/>
          <w:color w:val="000000" w:themeColor="text1"/>
          <w:sz w:val="24"/>
          <w:szCs w:val="24"/>
        </w:rPr>
      </w:pPr>
      <w:r w:rsidRPr="008A7474">
        <w:rPr>
          <w:rFonts w:ascii="Calibri" w:eastAsia="Calibri" w:hAnsi="Calibri" w:cs="Calibri"/>
          <w:b/>
          <w:color w:val="000000" w:themeColor="text1"/>
          <w:sz w:val="24"/>
          <w:szCs w:val="24"/>
          <w:u w:val="single"/>
        </w:rPr>
        <w:t>Aim 1</w:t>
      </w:r>
      <w:r w:rsidRPr="008A7474">
        <w:rPr>
          <w:rFonts w:ascii="Calibri" w:eastAsia="Calibri" w:hAnsi="Calibri" w:cs="Calibri"/>
          <w:b/>
          <w:color w:val="000000" w:themeColor="text1"/>
          <w:sz w:val="24"/>
          <w:szCs w:val="24"/>
        </w:rPr>
        <w:t xml:space="preserve">: What environmental stimuli in the host </w:t>
      </w:r>
      <w:r>
        <w:rPr>
          <w:rFonts w:ascii="Calibri" w:eastAsia="Calibri" w:hAnsi="Calibri" w:cs="Calibri"/>
          <w:b/>
          <w:color w:val="000000" w:themeColor="text1"/>
          <w:sz w:val="24"/>
          <w:szCs w:val="24"/>
        </w:rPr>
        <w:t>trigger</w:t>
      </w:r>
      <w:r w:rsidRPr="008A7474">
        <w:rPr>
          <w:rFonts w:ascii="Calibri" w:eastAsia="Calibri" w:hAnsi="Calibri" w:cs="Calibri"/>
          <w:b/>
          <w:color w:val="000000" w:themeColor="text1"/>
          <w:sz w:val="24"/>
          <w:szCs w:val="24"/>
        </w:rPr>
        <w:t xml:space="preserve"> </w:t>
      </w:r>
      <w:r>
        <w:rPr>
          <w:rFonts w:ascii="Calibri" w:eastAsia="Calibri" w:hAnsi="Calibri" w:cs="Calibri"/>
          <w:b/>
          <w:color w:val="000000" w:themeColor="text1"/>
          <w:sz w:val="24"/>
          <w:szCs w:val="24"/>
        </w:rPr>
        <w:t>an acute stress response</w:t>
      </w:r>
      <w:r w:rsidRPr="008A7474">
        <w:rPr>
          <w:rFonts w:ascii="Calibri" w:eastAsia="Calibri" w:hAnsi="Calibri" w:cs="Calibri"/>
          <w:b/>
          <w:color w:val="000000" w:themeColor="text1"/>
          <w:sz w:val="24"/>
          <w:szCs w:val="24"/>
        </w:rPr>
        <w:t xml:space="preserve"> in </w:t>
      </w:r>
      <w:r w:rsidRPr="008A7474">
        <w:rPr>
          <w:rFonts w:ascii="Calibri" w:eastAsia="Calibri" w:hAnsi="Calibri" w:cs="Calibri"/>
          <w:b/>
          <w:i/>
          <w:color w:val="000000" w:themeColor="text1"/>
          <w:sz w:val="24"/>
          <w:szCs w:val="24"/>
        </w:rPr>
        <w:t>C. neoformans</w:t>
      </w:r>
      <w:r>
        <w:rPr>
          <w:rFonts w:ascii="Calibri" w:eastAsia="Calibri" w:hAnsi="Calibri" w:cs="Calibri"/>
          <w:b/>
          <w:color w:val="000000" w:themeColor="text1"/>
          <w:sz w:val="24"/>
          <w:szCs w:val="24"/>
        </w:rPr>
        <w:t>?</w:t>
      </w:r>
    </w:p>
    <w:p w:rsidR="00D63774"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Current knowledge of the early events in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infection are based on research using animal models or </w:t>
      </w:r>
      <w:r w:rsidRPr="00B96CC3">
        <w:rPr>
          <w:rFonts w:ascii="Calibri" w:eastAsia="Calibri" w:hAnsi="Calibri" w:cs="Calibri"/>
          <w:i/>
          <w:sz w:val="24"/>
          <w:szCs w:val="24"/>
        </w:rPr>
        <w:t>in vitro</w:t>
      </w:r>
      <w:r w:rsidRPr="00B96CC3">
        <w:rPr>
          <w:rFonts w:ascii="Calibri" w:eastAsia="Calibri" w:hAnsi="Calibri" w:cs="Calibri"/>
          <w:sz w:val="24"/>
          <w:szCs w:val="24"/>
        </w:rPr>
        <w:t xml:space="preserve"> culture methods</w:t>
      </w:r>
      <w:r>
        <w:rPr>
          <w:rFonts w:ascii="Calibri" w:eastAsia="Calibri" w:hAnsi="Calibri" w:cs="Calibri"/>
          <w:sz w:val="24"/>
          <w:szCs w:val="24"/>
        </w:rPr>
        <w:t>,</w:t>
      </w:r>
      <w:r w:rsidRPr="00B96CC3">
        <w:rPr>
          <w:rFonts w:ascii="Calibri" w:eastAsia="Calibri" w:hAnsi="Calibri" w:cs="Calibri"/>
          <w:sz w:val="24"/>
          <w:szCs w:val="24"/>
        </w:rPr>
        <w:t xml:space="preserve"> primarily in rich </w:t>
      </w:r>
      <w:r>
        <w:rPr>
          <w:rFonts w:ascii="Calibri" w:eastAsia="Calibri" w:hAnsi="Calibri" w:cs="Calibri"/>
          <w:sz w:val="24"/>
          <w:szCs w:val="24"/>
        </w:rPr>
        <w:t xml:space="preserve">fungal support </w:t>
      </w:r>
      <w:r w:rsidRPr="00B96CC3">
        <w:rPr>
          <w:rFonts w:ascii="Calibri" w:eastAsia="Calibri" w:hAnsi="Calibri" w:cs="Calibri"/>
          <w:sz w:val="24"/>
          <w:szCs w:val="24"/>
        </w:rPr>
        <w:t xml:space="preserve">media such as YPD or YPDA. While these culture methods have produced useful data about the infectivity and virulence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they do not accurately reflect the lung environment, where nutrients are likely to be scarce. </w:t>
      </w:r>
    </w:p>
    <w:p w:rsidR="00D63774" w:rsidRPr="00B96CC3" w:rsidRDefault="00D63774" w:rsidP="00D63774">
      <w:pPr>
        <w:pStyle w:val="BodyA"/>
        <w:rPr>
          <w:rFonts w:ascii="Calibri" w:eastAsia="Calibri" w:hAnsi="Calibri" w:cs="Calibri"/>
          <w:sz w:val="24"/>
          <w:szCs w:val="24"/>
        </w:rPr>
      </w:pPr>
      <w:r w:rsidRPr="00D02579">
        <w:rPr>
          <w:rFonts w:ascii="Calibri" w:eastAsia="Calibri" w:hAnsi="Calibri" w:cs="Calibri"/>
          <w:sz w:val="24"/>
          <w:szCs w:val="24"/>
        </w:rPr>
        <w:t>This work will carry on from investigations previously carried out by Dr. E Wallace, in collaboration with Dr. Elizabeth Ballou, designed to dissect the contributions of host factors and temperature in shaping initial growth. In this pilot study a distinct physiological response</w:t>
      </w:r>
      <w:r>
        <w:rPr>
          <w:rFonts w:ascii="Calibri" w:eastAsia="Calibri" w:hAnsi="Calibri" w:cs="Calibri"/>
          <w:sz w:val="24"/>
          <w:szCs w:val="24"/>
        </w:rPr>
        <w:t xml:space="preserve"> (capsule induction)</w:t>
      </w:r>
      <w:r w:rsidRPr="00D02579">
        <w:rPr>
          <w:rFonts w:ascii="Calibri" w:eastAsia="Calibri" w:hAnsi="Calibri" w:cs="Calibri"/>
          <w:sz w:val="24"/>
          <w:szCs w:val="24"/>
        </w:rPr>
        <w:t xml:space="preserve"> and differential RNA abundance was documented</w:t>
      </w:r>
      <w:r>
        <w:rPr>
          <w:rFonts w:ascii="Calibri" w:eastAsia="Calibri" w:hAnsi="Calibri" w:cs="Calibri"/>
          <w:sz w:val="24"/>
          <w:szCs w:val="24"/>
        </w:rPr>
        <w:t xml:space="preserve"> between the different conditions (See Appendix 1</w:t>
      </w:r>
      <w:r w:rsidRPr="00D02579">
        <w:rPr>
          <w:rFonts w:ascii="Calibri" w:eastAsia="Calibri" w:hAnsi="Calibri" w:cs="Calibri"/>
          <w:sz w:val="24"/>
          <w:szCs w:val="24"/>
        </w:rPr>
        <w:t>)</w:t>
      </w:r>
      <w:r>
        <w:rPr>
          <w:rFonts w:ascii="Calibri" w:eastAsia="Calibri" w:hAnsi="Calibri" w:cs="Calibri"/>
          <w:sz w:val="24"/>
          <w:szCs w:val="24"/>
        </w:rPr>
        <w:t>.</w:t>
      </w:r>
    </w:p>
    <w:p w:rsidR="00D63774" w:rsidRPr="00B96CC3" w:rsidRDefault="00D63774" w:rsidP="00D63774">
      <w:pPr>
        <w:pStyle w:val="BodyA"/>
        <w:rPr>
          <w:rFonts w:ascii="Calibri" w:eastAsia="Calibri" w:hAnsi="Calibri" w:cs="Calibri"/>
          <w:b/>
          <w:sz w:val="24"/>
          <w:szCs w:val="24"/>
          <w:u w:val="single"/>
        </w:rPr>
      </w:pPr>
      <w:r w:rsidRPr="00B96CC3">
        <w:rPr>
          <w:rFonts w:ascii="Calibri" w:eastAsia="Calibri" w:hAnsi="Calibri" w:cs="Calibri"/>
          <w:b/>
          <w:sz w:val="24"/>
          <w:szCs w:val="24"/>
          <w:u w:val="single"/>
        </w:rPr>
        <w:t>Objective:</w:t>
      </w:r>
    </w:p>
    <w:p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I would like to identify what causes this phenotypic shift.</w:t>
      </w:r>
      <w:r w:rsidRPr="00B96CC3">
        <w:rPr>
          <w:rFonts w:ascii="Calibri" w:eastAsia="Calibri" w:hAnsi="Calibri" w:cs="Calibri"/>
          <w:sz w:val="24"/>
          <w:szCs w:val="24"/>
        </w:rPr>
        <w:t xml:space="preserve"> </w:t>
      </w:r>
      <w:r>
        <w:rPr>
          <w:rFonts w:ascii="Calibri" w:eastAsia="Calibri" w:hAnsi="Calibri" w:cs="Calibri"/>
          <w:sz w:val="24"/>
          <w:szCs w:val="24"/>
        </w:rPr>
        <w:t>I will analyze</w:t>
      </w:r>
      <w:r w:rsidRPr="00B96CC3">
        <w:rPr>
          <w:rFonts w:ascii="Calibri" w:eastAsia="Calibri" w:hAnsi="Calibri" w:cs="Calibri"/>
          <w:sz w:val="24"/>
          <w:szCs w:val="24"/>
        </w:rPr>
        <w:t xml:space="preserve"> differential gene expression</w:t>
      </w:r>
      <w:r>
        <w:rPr>
          <w:rFonts w:ascii="Calibri" w:eastAsia="Calibri" w:hAnsi="Calibri" w:cs="Calibri"/>
          <w:sz w:val="24"/>
          <w:szCs w:val="24"/>
        </w:rPr>
        <w:t xml:space="preserve"> using </w:t>
      </w:r>
      <w:r w:rsidR="00BD3215">
        <w:rPr>
          <w:rFonts w:ascii="Calibri" w:eastAsia="Calibri" w:hAnsi="Calibri" w:cs="Calibri"/>
          <w:sz w:val="24"/>
          <w:szCs w:val="24"/>
        </w:rPr>
        <w:t>RT-</w:t>
      </w:r>
      <w:r>
        <w:rPr>
          <w:rFonts w:ascii="Calibri" w:eastAsia="Calibri" w:hAnsi="Calibri" w:cs="Calibri"/>
          <w:sz w:val="24"/>
          <w:szCs w:val="24"/>
        </w:rPr>
        <w:t>qPCR</w:t>
      </w:r>
      <w:r w:rsidRPr="00B96CC3">
        <w:rPr>
          <w:rFonts w:ascii="Calibri" w:eastAsia="Calibri" w:hAnsi="Calibri" w:cs="Calibri"/>
          <w:sz w:val="24"/>
          <w:szCs w:val="24"/>
        </w:rPr>
        <w:t xml:space="preserve"> over a time-course </w:t>
      </w:r>
      <w:r>
        <w:rPr>
          <w:rFonts w:ascii="Calibri" w:eastAsia="Calibri" w:hAnsi="Calibri" w:cs="Calibri"/>
          <w:sz w:val="24"/>
          <w:szCs w:val="24"/>
        </w:rPr>
        <w:t>to</w:t>
      </w:r>
      <w:r w:rsidRPr="00B96CC3">
        <w:rPr>
          <w:rFonts w:ascii="Calibri" w:eastAsia="Calibri" w:hAnsi="Calibri" w:cs="Calibri"/>
          <w:sz w:val="24"/>
          <w:szCs w:val="24"/>
        </w:rPr>
        <w:t xml:space="preserve"> produce a snapshot</w:t>
      </w:r>
      <w:r>
        <w:rPr>
          <w:rFonts w:ascii="Calibri" w:eastAsia="Calibri" w:hAnsi="Calibri" w:cs="Calibri"/>
          <w:sz w:val="24"/>
          <w:szCs w:val="24"/>
        </w:rPr>
        <w:t xml:space="preserve"> of actively expressed genes under different environmental stimuli. This</w:t>
      </w:r>
      <w:r w:rsidRPr="00B96CC3">
        <w:rPr>
          <w:rFonts w:ascii="Calibri" w:eastAsia="Calibri" w:hAnsi="Calibri" w:cs="Calibri"/>
          <w:sz w:val="24"/>
          <w:szCs w:val="24"/>
        </w:rPr>
        <w:t xml:space="preserve"> may </w:t>
      </w:r>
      <w:r>
        <w:rPr>
          <w:rFonts w:ascii="Calibri" w:eastAsia="Calibri" w:hAnsi="Calibri" w:cs="Calibri"/>
          <w:sz w:val="24"/>
          <w:szCs w:val="24"/>
        </w:rPr>
        <w:t>shed light on</w:t>
      </w:r>
      <w:r w:rsidRPr="00B96CC3">
        <w:rPr>
          <w:rFonts w:ascii="Calibri" w:eastAsia="Calibri" w:hAnsi="Calibri" w:cs="Calibri"/>
          <w:sz w:val="24"/>
          <w:szCs w:val="24"/>
        </w:rPr>
        <w:t xml:space="preserve"> the important steps for infection at early time-points.</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 xml:space="preserve">Initially </w:t>
      </w:r>
      <w:r w:rsidRPr="00B96CC3">
        <w:rPr>
          <w:rFonts w:ascii="Calibri" w:eastAsia="Calibri" w:hAnsi="Calibri" w:cs="Calibri"/>
          <w:sz w:val="24"/>
          <w:szCs w:val="24"/>
        </w:rPr>
        <w:t>I will</w:t>
      </w:r>
      <w:r>
        <w:rPr>
          <w:rFonts w:ascii="Calibri" w:eastAsia="Calibri" w:hAnsi="Calibri" w:cs="Calibri"/>
          <w:sz w:val="24"/>
          <w:szCs w:val="24"/>
        </w:rPr>
        <w:t xml:space="preserve"> inoculate growth-arrested </w:t>
      </w:r>
      <w:r w:rsidRPr="004501ED">
        <w:rPr>
          <w:rFonts w:ascii="Calibri" w:eastAsia="Calibri" w:hAnsi="Calibri" w:cs="Calibri"/>
          <w:i/>
          <w:sz w:val="24"/>
          <w:szCs w:val="24"/>
        </w:rPr>
        <w:t>C. neoformans</w:t>
      </w:r>
      <w:r>
        <w:rPr>
          <w:rFonts w:ascii="Calibri" w:eastAsia="Calibri" w:hAnsi="Calibri" w:cs="Calibri"/>
          <w:sz w:val="24"/>
          <w:szCs w:val="24"/>
        </w:rPr>
        <w:t xml:space="preserve"> yeast cells grown in YPD (GA-Cn-YPD) into RPMI-1640 media and YPD + serum and incubate at 25⁰C and 37⁰C. I will examine the</w:t>
      </w:r>
      <w:r w:rsidRPr="00B96CC3">
        <w:rPr>
          <w:rFonts w:ascii="Calibri" w:eastAsia="Calibri" w:hAnsi="Calibri" w:cs="Calibri"/>
          <w:sz w:val="24"/>
          <w:szCs w:val="24"/>
        </w:rPr>
        <w:t xml:space="preserve"> cells to determ</w:t>
      </w:r>
      <w:r>
        <w:rPr>
          <w:rFonts w:ascii="Calibri" w:eastAsia="Calibri" w:hAnsi="Calibri" w:cs="Calibri"/>
          <w:sz w:val="24"/>
          <w:szCs w:val="24"/>
        </w:rPr>
        <w:t>ine any phenotypic changes. I will extract RNA for</w:t>
      </w:r>
      <w:r w:rsidRPr="00B96CC3">
        <w:rPr>
          <w:rFonts w:ascii="Calibri" w:eastAsia="Calibri" w:hAnsi="Calibri" w:cs="Calibri"/>
          <w:sz w:val="24"/>
          <w:szCs w:val="24"/>
        </w:rPr>
        <w:t xml:space="preserve"> analysis using </w:t>
      </w:r>
      <w:r w:rsidR="00BD3215">
        <w:rPr>
          <w:rFonts w:ascii="Calibri" w:eastAsia="Calibri" w:hAnsi="Calibri" w:cs="Calibri"/>
          <w:sz w:val="24"/>
          <w:szCs w:val="24"/>
        </w:rPr>
        <w:t>RT-</w:t>
      </w:r>
      <w:r w:rsidRPr="00B96CC3">
        <w:rPr>
          <w:rFonts w:ascii="Calibri" w:eastAsia="Calibri" w:hAnsi="Calibri" w:cs="Calibri"/>
          <w:sz w:val="24"/>
          <w:szCs w:val="24"/>
        </w:rPr>
        <w:t>qPCR</w:t>
      </w:r>
      <w:r>
        <w:rPr>
          <w:rFonts w:ascii="Calibri" w:eastAsia="Calibri" w:hAnsi="Calibri" w:cs="Calibri"/>
          <w:sz w:val="24"/>
          <w:szCs w:val="24"/>
        </w:rPr>
        <w:t xml:space="preserve"> (primers against differentially expressed genes previously detected by RNA-seq in the Wallace labs). I will compare </w:t>
      </w:r>
      <w:r>
        <w:rPr>
          <w:rFonts w:ascii="Calibri" w:eastAsia="Calibri" w:hAnsi="Calibri" w:cs="Calibri"/>
          <w:sz w:val="24"/>
          <w:szCs w:val="24"/>
        </w:rPr>
        <w:lastRenderedPageBreak/>
        <w:t xml:space="preserve">results from these and the previous experiments to determine how the gene profile alters in relation to phenotype. </w:t>
      </w:r>
    </w:p>
    <w:p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Analysis of this data will determine future studies. If the addition of serum to media is sufficient for capsule induction I will incubate GA-Cn-YPD in RPMI-1640 + purified albumin and RPMI-1640 + charcoal stripped FBS (CS-FBS). This will allow me to compare the effect of albumin and reduced levels of endotoxins and hormone</w:t>
      </w:r>
      <w:r w:rsidR="009D0AC4">
        <w:rPr>
          <w:rFonts w:ascii="Calibri" w:eastAsia="Calibri" w:hAnsi="Calibri" w:cs="Calibri"/>
          <w:sz w:val="24"/>
          <w:szCs w:val="24"/>
        </w:rPr>
        <w:t>s (</w:t>
      </w:r>
      <w:r>
        <w:rPr>
          <w:rFonts w:ascii="Calibri" w:eastAsia="Calibri" w:hAnsi="Calibri" w:cs="Calibri"/>
          <w:sz w:val="24"/>
          <w:szCs w:val="24"/>
        </w:rPr>
        <w:t>reduced in CS-</w:t>
      </w:r>
      <w:r w:rsidR="009D0AC4">
        <w:rPr>
          <w:rFonts w:ascii="Calibri" w:eastAsia="Calibri" w:hAnsi="Calibri" w:cs="Calibri"/>
          <w:sz w:val="24"/>
          <w:szCs w:val="24"/>
        </w:rPr>
        <w:t>FBS) on capsule induction. (</w:t>
      </w:r>
      <w:r>
        <w:rPr>
          <w:rFonts w:ascii="Calibri" w:eastAsia="Calibri" w:hAnsi="Calibri" w:cs="Calibri"/>
          <w:sz w:val="24"/>
          <w:szCs w:val="24"/>
        </w:rPr>
        <w:t>Appendix 2).</w:t>
      </w:r>
    </w:p>
    <w:p w:rsidR="00D63774" w:rsidRPr="00B96CC3" w:rsidRDefault="00D63774" w:rsidP="00D63774">
      <w:pPr>
        <w:pStyle w:val="BodyA"/>
        <w:rPr>
          <w:rFonts w:ascii="Calibri" w:eastAsia="Calibri" w:hAnsi="Calibri" w:cs="Calibri"/>
          <w:sz w:val="24"/>
          <w:szCs w:val="24"/>
        </w:rPr>
      </w:pPr>
      <w:r>
        <w:rPr>
          <w:rFonts w:ascii="Calibri" w:eastAsia="Calibri" w:hAnsi="Calibri" w:cs="Calibri"/>
          <w:sz w:val="24"/>
          <w:szCs w:val="24"/>
        </w:rPr>
        <w:t>If serum is not sufficient I will dissect RPMI-1640 and look at the impact remo</w:t>
      </w:r>
      <w:r w:rsidR="00FA241A">
        <w:rPr>
          <w:rFonts w:ascii="Calibri" w:eastAsia="Calibri" w:hAnsi="Calibri" w:cs="Calibri"/>
          <w:sz w:val="24"/>
          <w:szCs w:val="24"/>
        </w:rPr>
        <w:t>ving phenol red</w:t>
      </w:r>
      <w:r>
        <w:rPr>
          <w:rFonts w:ascii="Calibri" w:eastAsia="Calibri" w:hAnsi="Calibri" w:cs="Calibri"/>
          <w:sz w:val="24"/>
          <w:szCs w:val="24"/>
        </w:rPr>
        <w:t xml:space="preserve"> has on capsule induction. </w:t>
      </w:r>
      <w:r w:rsidR="00FA241A">
        <w:rPr>
          <w:rFonts w:ascii="Calibri" w:eastAsia="Calibri" w:hAnsi="Calibri" w:cs="Calibri"/>
          <w:sz w:val="24"/>
          <w:szCs w:val="24"/>
        </w:rPr>
        <w:t>Phenol red has been described as a week estrogen</w:t>
      </w:r>
      <w:r w:rsidR="00FA241A">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{"citationItems":[{"id":"ITEM-1","itemData":{"ISSN":"0027-8424","PMID":"3458212","abstract":"Although much attention has been paid to the removal of hormones from sera and to the development of serum-free media for studies on hormone-responsive cells in culture, little consideration has been given to the possibility that the media components themselves may have hormonal activity. We have found that phenol red, which bears a structural resemblance to some nonsteroidal estrogens and which is used ubiquitously as a pH indicator in tissue culture media, has significant estrogenic activity at the concentrations (15-45 microM) at which it is found in tissue culture media. Phenol red binds to the estrogen receptor of MCF-7 human breast cancer cells with an affinity 0.001% that of estradiol (Kd = 2 X 10(-5) M). It stimulates the proliferation of estrogen receptor-positive MCF-7 breast cancer cells in a dose-dependent manner but has no effect on the growth of estrogen receptor-negative MDA-MB-231 breast cancer cells. At the concentrations present in tissue culture media, phenol red causes partial estrogenic stimulation, increasing cell number to 200% and progesterone receptor content to 300% of that found for cells grown in phenol red-free media, thereby reducing the degree to which exogenous estrogen is able to stimulate responses. The antiestrogens tamoxifen and hydroxytamoxifen inhibit cell proliferation below the control level only when cells are grown in the presence of phenol red; in the absence of phenol red, the antiestrogens do not suppress growth. The estrogenic activity of phenol red should be considered in any studies that utilize estrogen-responsive cells in culture.","author":[{"dropping-particle":"","family":"Berthois","given":"Y","non-dropping-particle":"","parse-names":false,"suffix":""},{"dropping-particle":"","family":"Katzenellenbogen","given":"J A","non-dropping-particle":"","parse-names":false,"suffix":""},{"dropping-particle":"","family":"Katzenellenbogen","given":"B S","non-dropping-particle":"","parse-names":false,"suffix":""}],"container-title":"Proceedings of the National Academy of Sciences of the United States of America","id":"ITEM-1","issue":"8","issued":{"date-parts":[["1986","4"]]},"page":"2496-500","publisher":"National Academy of Sciences","title":"Phenol red in tissue culture media is a weak estrogen: implications concerning the study of estrogen-responsive cells in culture.","type":"article-journal","volume":"83"},"uris":["http://www.mendeley.com/documents/?uuid=0592820c-9b3e-31e8-89b5-e0478a5cd0f8"]}],"mendeley":{"formattedCitation":"&lt;sup&gt;6&lt;/sup&gt;","plainTextFormattedCitation":"6","previouslyFormattedCitation":"&lt;sup&gt;6&lt;/sup&gt;"},"properties":{"noteIndex":0},"schema":"https://github.com/citation-style-language/schema/raw/master/csl-citation.json"}</w:instrText>
      </w:r>
      <w:r w:rsidR="00FA241A">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6</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and such steroids have been shown to inhibit C. neoformans growth</w:t>
      </w:r>
      <w:r w:rsidR="00FA241A">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{"citationItems":[{"id":"ITEM-1","itemData":{"DOI":"10.1016/0303-7207(88)90072-X","ISSN":"0303-7207","abstract":"It has recently been reported that phenol red, a pH indicator present in most tissue culture media, is a weak estrogen that can stimulate some estrogen-sensitive cells. However, the relative impact of phenol red on various cell lines is controversial. We examined the effect of phenol red on several estrogen-responsive cell systems that we use to study estrogen action. These included estrogenic stimulation of progesterone receptor and growth in human breast cancer-derived MCF-7 cells, stimulation of growth in human breast cancer-derived T47D cells, stimulation of prolactin synthesis in primary cultures of immature rat pituitary cells, and stimulation of progesterone receptor in primary cultures of immature rat uterine cells. Estrogenic responses in MCF-7 cells were the most sensitive to the presence of phenol red, while the other three cell cultures showed lesser effects of the indicator. In addition to intrinsic differences in cell responses, there were several other factors involved. These included differences in the estrogenic activity of phenol red-containing media and phenol red itself from different commercial suppliers, and differences in the concentration of free phenol red in final media due to binding of the indicator by serum. Higher concentrations of serum reduced the impact of phenol red on estrogenic responses in primary pituitary cells. Phenol red added to rat uterine cytosol competed with estradiol for binding to the estrogen receptor (relative binding affinity (RBA) approx. 0.001), and the acidic and basic forms of the indicator showed similar activity. Some commercial phenol red samples inhibited cell growth at levels of 100 mg/l; these effects were toxic rather than antiestrogenic, because growth inhibition could not be competitively reversed by an excess of estradiol. The amount of the indicator bound to serum in the final media, the source of the phenol red and the sensitivity of different cell types to the indicator ultimately determine its influence to the response of cells in tissue culture.","author":[{"dropping-particle":"V.","family":"Welshons","given":"Wade","non-dropping-particle":"","parse-names":false,"suffix":""},{"dropping-particle":"","family":"Wolf","given":"Michael F.","non-dropping-particle":"","parse-names":false,"suffix":""},{"dropping-particle":"","family":"Murphy","given":"Catherine S.","non-dropping-particle":"","parse-names":false,"suffix":""},{"dropping-particle":"","family":"Jordan","given":"V.Craig","non-dropping-particle":"","parse-names":false,"suffix":""}],"container-title":"Molecular and Cellular Endocrinology","id":"ITEM-1","issue":"3","issued":{"date-parts":[["1988","6","1"]]},"page":"169-178","publisher":"Elsevier","title":"Estrogenic activity of phenol red","type":"article-journal","volume":"57"},"uris":["http://www.mendeley.com/documents/?uuid=7479d138-c259-392f-a045-d598a93c564a"]}],"mendeley":{"formattedCitation":"&lt;sup&gt;7&lt;/sup&gt;","plainTextFormattedCitation":"7","previouslyFormattedCitation":"&lt;sup&gt;7&lt;/sup&gt;"},"properties":{"noteIndex":0},"schema":"https://github.com/citation-style-language/schema/raw/master/csl-citation.json"}</w:instrText>
      </w:r>
      <w:r w:rsidR="00FA241A">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7</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and have shown a synergistic/additive in vitro activity with drugs currently used to treat cryptococcosis </w:t>
      </w:r>
      <w:r w:rsidR="00FA241A">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{"citationItems":[{"id":"ITEM-1","itemData":{"DOI":"10.1128/MBIO.00765-13","ISSN":"2150-7511","PMID":"24520056","abstract":"Cryptococcosis is an infectious disease of global significance for which new therapies are needed. Repurposing previously developed drugs for new indications can expedite the translation of new therapies from bench to beside. Here, we characterized the anti-cryptococcal activity and antifungal mechanism of estrogen receptor antagonists related to the breast cancer drugs tamoxifen and toremifene. Tamoxifen and toremifene are fungicidal and synergize with fluconazole and amphotericin B in vitro . In a mouse model of disseminated cryptococcosis, tamoxifen at concentrations achievable in humans combines with fluconazole to decrease brain burden by ~1 log10. In addition, these drugs inhibit the growth of Cryptococcus neoformans within macrophages, a niche not accessible by current antifungal drugs. Toremifene and tamoxifen directly bind to the essential EF hand protein calmodulin, as determined by thermal shift assays with purified C. neoformans calmodulin (Cam1), prevent Cam1 from binding to its well-characterized substrate calcineurin (Cna1), and block Cna1 activation. In whole cells, toremifene and tamoxifen block the calcineurin-dependent nuclear localization of the transcription factor Crz1. A large-scale chemical genetic screen with a library of C. neoformans deletion mutants identified a second EF hand-containing protein, which we have named calmodulin-like protein 1 (CNAG_05655), as a potential target, and further analysis showed that toremifene directly binds Cml1 and modulates its ability to bind and activate Cna1. Importantly, tamoxifen analogs (idoxifene and methylene-idoxifene) with increased calmodulin antagonism display improved anti-cryptococcal activity, indicating that calmodulin inhibition can be used to guide a systematic optimization of the anti-cryptococcal activity of the triphenylethylene scaffold.\n\nIMPORTANCE Worldwide, cryptococcosis affects approximately 1 million people annually and kills more HIV/AIDS patients per year than tuberculosis. The gold standard therapy for cryptococcosis is amphotericin B plus 5-flucytosine, but this regimen is not readily available in regions where resources are limited and where the burden of disease is highest. Herein, we show that molecules related to the breast cancer drug tamoxifen are fungicidal for Cryptococcus and display a number of pharmacological properties desirable for an anti-cryptococcal drug, including synergistic fungicidal activity with fluconazole in vitro and in vivo , oral bioavai…","author":[{"dropping-particle":"","family":"Butts","given":"Arielle","non-dropping-particle":"","parse-names":false,"suffix":""},{"dropping-particle":"","family":"Koselny","given":"Kristy","non-dropping-particle":"","parse-names":false,"suffix":""},{"dropping-particle":"","family":"Chabrier-Roselló","given":"Yeissa","non-dropping-particle":"","parse-names":false,"suffix":""},{"dropping-particle":"","family":"Semighini","given":"Camile P.","non-dropping-particle":"","parse-names":false,"suffix":""},{"dropping-particle":"","family":"Brown","given":"Jessica C. S.","non-dropping-particle":"","parse-names":false,"suffix":""},{"dropping-particle":"","family":"Wang","given":"Xuying","non-dropping-particle":"","parse-names":false,"suffix":""},{"dropping-particle":"","family":"Annadurai","given":"Sivakumar","non-dropping-particle":"","parse-names":false,"suffix":""},{"dropping-particle":"","family":"DiDone","given":"Louis","non-dropping-particle":"","parse-names":false,"suffix":""},{"dropping-particle":"","family":"Tabroff","given":"Julie","non-dropping-particle":"","parse-names":false,"suffix":""},{"dropping-particle":"","family":"Childers","given":"Wayne E.","non-dropping-particle":"","parse-names":false,"suffix":""},{"dropping-particle":"","family":"Abou-Gharbia","given":"Magid","non-dropping-particle":"","parse-names":false,"suffix":""},{"dropping-particle":"","family":"Wellington","given":"Melanie","non-dropping-particle":"","parse-names":false,"suffix":""},{"dropping-particle":"","family":"Cardenas","given":"Maria E.","non-dropping-particle":"","parse-names":false,"suffix":""},{"dropping-particle":"","family":"Madhani","given":"Hiten D.","non-dropping-particle":"","parse-names":false,"suffix":""},{"dropping-particle":"","family":"Heitman","given":"Joseph","non-dropping-particle":"","parse-names":false,"suffix":""},{"dropping-particle":"","family":"Krysan","given":"Damian J.","non-dropping-particle":"","parse-names":false,"suffix":""}],"container-title":"mBio","id":"ITEM-1","issue":"1","issued":{"date-parts":[["2014","2","28"]]},"page":"e00765-13","publisher":"American Society for Microbiology","title":"Estrogen Receptor Antagonists Are Anti-Cryptococcal Agents That Directly Bind EF Hand Proteins and Synergize with Fluconazole In Vivo","type":"article-journal","volume":"5"},"uris":["http://www.mendeley.com/documents/?uuid=cd04f7d5-c562-3a13-a9bc-9c5c8cd60aa1"]}],"mendeley":{"formattedCitation":"&lt;sup&gt;8&lt;/sup&gt;","plainTextFormattedCitation":"8","previouslyFormattedCitation":"&lt;sup&gt;8&lt;/sup&gt;"},"properties":{"noteIndex":0},"schema":"https://github.com/citation-style-language/schema/raw/master/csl-citation.json"}</w:instrText>
      </w:r>
      <w:r w:rsidR="00FA241A">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8</w:t>
      </w:r>
      <w:r w:rsidR="00FA241A">
        <w:rPr>
          <w:rFonts w:ascii="Calibri" w:eastAsia="Calibri" w:hAnsi="Calibri" w:cs="Calibri"/>
          <w:sz w:val="24"/>
          <w:szCs w:val="24"/>
        </w:rPr>
        <w:fldChar w:fldCharType="end"/>
      </w:r>
      <w:r w:rsidR="00FA241A">
        <w:rPr>
          <w:rFonts w:ascii="Calibri" w:eastAsia="Calibri" w:hAnsi="Calibri" w:cs="Calibri"/>
          <w:sz w:val="24"/>
          <w:szCs w:val="24"/>
          <w:vertAlign w:val="superscript"/>
        </w:rPr>
        <w:t>,</w:t>
      </w:r>
      <w:r w:rsidR="00FA241A">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10.1080/00362177285190331","ISSN":"1369-3786","author":[{"dropping-particle":"","family":"Mohr","given":"J.A.","non-dropping-particle":"","parse-names":false,"suffix":""},{"dropping-particle":"","family":"Long","given":"H.","non-dropping-particle":"","parse-names":false,"suffix":""},{"dropping-particle":"","family":"McKown","given":"B.A.","non-dropping-particle":"","parse-names":false,"suffix":""},{"dropping-particle":"","family":"Muchmore","given":"H.G.","non-dropping-particle":"","parse-names":false,"suffix":""}],"container-title":"Medical Mycology","id":"ITEM-1","issue":"2","issued":{"date-parts":[["1972","1","1"]]},"page":"171-172","publisher":"Oxford University Press","title":"&lt;i&gt;In vitro&lt;/i&gt; susceptibility of &lt;i&gt;Cryptococcus neoformans&lt;/i&gt; to steroids","type":"article-journal","volume":"10"},"uris":["http://www.mendeley.com/documents/?uuid=88b7da56-48b9-3a6f-bc34-9fe22f250eda"]}],"mendeley":{"formattedCitation":"&lt;sup&gt;9&lt;/sup&gt;","plainTextFormattedCitation":"9"},"properties":{"noteIndex":0},"schema":"https://github.com/citation-style-language/schema/raw/master/csl-citation.json"}</w:instrText>
      </w:r>
      <w:r w:rsidR="00FA241A">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9</w:t>
      </w:r>
      <w:r w:rsidR="00FA241A">
        <w:rPr>
          <w:rFonts w:ascii="Calibri" w:eastAsia="Calibri" w:hAnsi="Calibri" w:cs="Calibri"/>
          <w:sz w:val="24"/>
          <w:szCs w:val="24"/>
        </w:rPr>
        <w:fldChar w:fldCharType="end"/>
      </w:r>
      <w:r w:rsidR="00FA241A">
        <w:rPr>
          <w:rFonts w:ascii="Calibri" w:eastAsia="Calibri" w:hAnsi="Calibri" w:cs="Calibri"/>
          <w:sz w:val="24"/>
          <w:szCs w:val="24"/>
        </w:rPr>
        <w:t xml:space="preserve">. </w:t>
      </w:r>
      <w:r w:rsidR="009D0AC4">
        <w:rPr>
          <w:rFonts w:ascii="Calibri" w:eastAsia="Calibri" w:hAnsi="Calibri" w:cs="Calibri"/>
          <w:sz w:val="24"/>
          <w:szCs w:val="24"/>
        </w:rPr>
        <w:t>(</w:t>
      </w:r>
      <w:r>
        <w:rPr>
          <w:rFonts w:ascii="Calibri" w:eastAsia="Calibri" w:hAnsi="Calibri" w:cs="Calibri"/>
          <w:sz w:val="24"/>
          <w:szCs w:val="24"/>
        </w:rPr>
        <w:t>Appendix 3).</w:t>
      </w:r>
    </w:p>
    <w:p w:rsidR="00D63774" w:rsidRPr="00B96CC3" w:rsidRDefault="00D63774" w:rsidP="00D63774">
      <w:pPr>
        <w:pStyle w:val="BodyA"/>
        <w:rPr>
          <w:rFonts w:ascii="Calibri" w:eastAsia="Calibri" w:hAnsi="Calibri" w:cs="Calibri"/>
          <w:sz w:val="24"/>
          <w:szCs w:val="24"/>
        </w:rPr>
      </w:pPr>
    </w:p>
    <w:p w:rsidR="00D63774" w:rsidRPr="00B96CC3" w:rsidRDefault="00D63774" w:rsidP="00D63774">
      <w:pPr>
        <w:pStyle w:val="BodyA"/>
        <w:rPr>
          <w:rFonts w:ascii="Calibri" w:eastAsia="Calibri" w:hAnsi="Calibri" w:cs="Calibri"/>
          <w:b/>
          <w:sz w:val="24"/>
          <w:szCs w:val="24"/>
        </w:rPr>
      </w:pPr>
      <w:r w:rsidRPr="00B96CC3">
        <w:rPr>
          <w:rFonts w:ascii="Calibri" w:eastAsia="Calibri" w:hAnsi="Calibri" w:cs="Calibri"/>
          <w:b/>
          <w:sz w:val="24"/>
          <w:szCs w:val="24"/>
          <w:u w:val="single"/>
        </w:rPr>
        <w:t>Aim 2</w:t>
      </w:r>
      <w:r w:rsidRPr="00B96CC3">
        <w:rPr>
          <w:rFonts w:ascii="Calibri" w:eastAsia="Calibri" w:hAnsi="Calibri" w:cs="Calibri"/>
          <w:sz w:val="24"/>
          <w:szCs w:val="24"/>
        </w:rPr>
        <w:t xml:space="preserve">: </w:t>
      </w:r>
      <w:r w:rsidRPr="00B96CC3">
        <w:rPr>
          <w:rFonts w:ascii="Calibri" w:eastAsia="Calibri" w:hAnsi="Calibri" w:cs="Calibri"/>
          <w:b/>
          <w:sz w:val="24"/>
          <w:szCs w:val="24"/>
        </w:rPr>
        <w:t>Investigate how bacteria</w:t>
      </w:r>
      <w:r>
        <w:rPr>
          <w:rFonts w:ascii="Calibri" w:eastAsia="Calibri" w:hAnsi="Calibri" w:cs="Calibri"/>
          <w:b/>
          <w:sz w:val="24"/>
          <w:szCs w:val="24"/>
        </w:rPr>
        <w:t>l cell wall components</w:t>
      </w:r>
      <w:r w:rsidRPr="00B96CC3">
        <w:rPr>
          <w:rFonts w:ascii="Calibri" w:eastAsia="Calibri" w:hAnsi="Calibri" w:cs="Calibri"/>
          <w:b/>
          <w:sz w:val="24"/>
          <w:szCs w:val="24"/>
        </w:rPr>
        <w:t xml:space="preserve"> influence gene expression in </w:t>
      </w:r>
      <w:r w:rsidRPr="00B96CC3">
        <w:rPr>
          <w:rFonts w:ascii="Calibri" w:eastAsia="Calibri" w:hAnsi="Calibri" w:cs="Calibri"/>
          <w:b/>
          <w:i/>
          <w:sz w:val="24"/>
          <w:szCs w:val="24"/>
        </w:rPr>
        <w:t>C. neoformans</w:t>
      </w:r>
      <w:r w:rsidRPr="00B96CC3">
        <w:rPr>
          <w:rFonts w:ascii="Calibri" w:eastAsia="Calibri" w:hAnsi="Calibri" w:cs="Calibri"/>
          <w:b/>
          <w:sz w:val="24"/>
          <w:szCs w:val="24"/>
        </w:rPr>
        <w:t>.</w:t>
      </w:r>
    </w:p>
    <w:p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 xml:space="preserve">Peptidoglycan and cell wall fragments are increasingly being recognized as important signaling molecules that can inhibit growth and virulence factors and influence morphology of other microbes. The addition of fetal calf serum (FCS) to media induces capsule formation in </w:t>
      </w:r>
      <w:r w:rsidRPr="00B42CBA">
        <w:rPr>
          <w:rFonts w:ascii="Calibri" w:eastAsia="Calibri" w:hAnsi="Calibri" w:cs="Calibri"/>
          <w:i/>
          <w:sz w:val="24"/>
          <w:szCs w:val="24"/>
        </w:rPr>
        <w:t>C. neoformans</w:t>
      </w:r>
      <w:r>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{"citationItems":[{"id":"ITEM-1","itemData":{"DOI":"10.1128/iai.71.11.6155-6164.2003","ISSN":"0019-9567","PMID":"14573631","abstract":"The pathogenic fungus Cryptococcus neoformans has a polysaccharide capsule that is essential for virulence in vivo. Capsule size is known to increase during animal infection, and this phenomenon was recently associated with virulence. Although various conditions have been implicated in promoting capsule growth, including CO(2) concentration, osmolarity, and phenotypic switching, it is difficult to reproduce the capsule enlargement effect in the laboratory. In this study, we report that serum can induce capsule growth, and we describe the conditions that induce this effect, not only by serum but also by CO(2). Capsule enlargement was dependent on the medium used, and this determined whether the strain responded to serum or CO(2) efficiently. Serum was most effective in inducing capsule growth under nutrient-limited conditions. There was considerable variability between strains in their response to either serum or CO(2), with some strains requiring both stimuli. Sera from several animal sources were each highly efficient in inducing capsule growth. The cyclic AMP (cAMP) pathway and Ras1 were both necessary for serum-induced capsule growth. The lack of induction in the ras1 mutant was not complemented by exogenous cAMP, indicating that these pathways act in parallel. However, both cAMP and Ras1 were dispensable for inducing a partial capsule growth by CO(2), suggesting that multiple pathways participate in this process. The ability of serum to induce capsule growth suggests a mechanism for the capsular enlargement observed during animal infection.","author":[{"dropping-particle":"","family":"Zaragoza","given":"Oscar","non-dropping-particle":"","parse-names":false,"suffix":""},{"dropping-particle":"","family":"Fries","given":"Bettina C","non-dropping-particle":"","parse-names":false,"suffix":""},{"dropping-particle":"","family":"Casadevall","given":"Arturo","non-dropping-particle":"","parse-names":false,"suffix":""}],"container-title":"Infection and immunity","id":"ITEM-1","issue":"11","issued":{"date-parts":[["2003","11"]]},"page":"6155-64","title":"Induction of capsule growth in Cryptococcus neoformans by mammalian serum and CO(2).","type":"article-journal","volume":"71"},"uris":["http://www.mendeley.com/documents/?uuid=4832a67c-dc58-3450-b4fa-a56e06253e30"]}],"mendeley":{"formattedCitation":"&lt;sup&gt;10&lt;/sup&gt;","plainTextFormattedCitation":"10","previouslyFormattedCitation":"&lt;sup&gt;9&lt;/sup&gt;"},"properties":{"noteIndex":0},"schema":"https://github.com/citation-style-language/schema/raw/master/csl-citation.json"}</w:instrText>
      </w:r>
      <w:r>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10</w:t>
      </w:r>
      <w:r>
        <w:rPr>
          <w:rFonts w:ascii="Calibri" w:eastAsia="Calibri" w:hAnsi="Calibri" w:cs="Calibri"/>
          <w:sz w:val="24"/>
          <w:szCs w:val="24"/>
        </w:rPr>
        <w:fldChar w:fldCharType="end"/>
      </w:r>
      <w:r>
        <w:rPr>
          <w:rFonts w:ascii="Calibri" w:eastAsia="Calibri" w:hAnsi="Calibri" w:cs="Calibri"/>
          <w:sz w:val="24"/>
          <w:szCs w:val="24"/>
        </w:rPr>
        <w:t>. B</w:t>
      </w:r>
      <w:r w:rsidRPr="00B96CC3">
        <w:rPr>
          <w:rFonts w:ascii="Calibri" w:eastAsia="Calibri" w:hAnsi="Calibri" w:cs="Calibri"/>
          <w:sz w:val="24"/>
          <w:szCs w:val="24"/>
        </w:rPr>
        <w:t>acterial cell wall components</w:t>
      </w:r>
      <w:r>
        <w:rPr>
          <w:rFonts w:ascii="Calibri" w:eastAsia="Calibri" w:hAnsi="Calibri" w:cs="Calibri"/>
          <w:sz w:val="24"/>
          <w:szCs w:val="24"/>
        </w:rPr>
        <w:t xml:space="preserve"> (in serum)</w:t>
      </w:r>
      <w:r w:rsidRPr="00B96CC3">
        <w:rPr>
          <w:rFonts w:ascii="Calibri" w:eastAsia="Calibri" w:hAnsi="Calibri" w:cs="Calibri"/>
          <w:sz w:val="24"/>
          <w:szCs w:val="24"/>
        </w:rPr>
        <w:t xml:space="preserve"> have been shown to modify the morphology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from a normal yeast cell to a </w:t>
      </w:r>
      <w:r>
        <w:rPr>
          <w:rFonts w:ascii="Calibri" w:eastAsia="Calibri" w:hAnsi="Calibri" w:cs="Calibri"/>
          <w:sz w:val="24"/>
          <w:szCs w:val="24"/>
        </w:rPr>
        <w:t xml:space="preserve">large, highly ploidy </w:t>
      </w:r>
      <w:r w:rsidRPr="00B96CC3">
        <w:rPr>
          <w:rFonts w:ascii="Calibri" w:eastAsia="Calibri" w:hAnsi="Calibri" w:cs="Calibri"/>
          <w:sz w:val="24"/>
          <w:szCs w:val="24"/>
        </w:rPr>
        <w:t xml:space="preserve">titan cell </w:t>
      </w:r>
      <w:r w:rsidRPr="00B96CC3">
        <w:rPr>
          <w:rStyle w:val="FootnoteReference"/>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{"citationItems":[{"id":"ITEM-1","itemData":{"DOI":"10.1371/journal.ppat.1006978","ISSN":"1553-7374","abstract":"Fungal cells change shape in response to environmental stimuli, and these morphogenic transitions drive pathogenesis and niche adaptation. For example, dimorphic fungi switch between yeast and hyphae in response to changing temperature. The basidiomycete Cryptococcus neoformans undergoes an unusual morphogenetic transition in the host lung from haploid yeast to large, highly polyploid cells termed Titan cells. Titan cells influence fungal interaction with host cells, including through increased drug resistance, altered cell size, and altered Pathogen Associated Molecular Pattern exposure. Despite the important role these cells play in pathogenesis, understanding the environmental stimuli that drive the morphological transition, and the molecular mechanisms underlying their unique biology, has been hampered by the lack of a reproducible in vitro induction system. Here we demonstrate reproducible in vitro Titan cell induction in response to environmental stimuli consistent with the host lung. In vitro Titan cells exhibit all the properties of in vivo generated Titan cells, the current gold standard, including altered capsule, cell wall, size, high mother cell ploidy, and aneuploid progeny. We identify the bacterial peptidoglycan subunit Muramyl Dipeptide as a serum compound associated with shift in cell size and ploidy, and demonstrate the capacity of bronchial lavage fluid and bacterial co-culture to induce Titanisation. Additionally, we demonstrate the capacity of our assay to identify established (cAMP/PKA) and previously undescribed (USV101) regulators of Titanisation in vitro. Finally, we investigate the Titanisation capacity of clinical isolates and their impact on disease outcome. Together, these findings provide new insight into the environmental stimuli and molecular mechanisms underlying the yeast-to-Titan transition and establish an essential in vitro model for the future characterization of this important morphotype.","author":[{"dropping-particle":"","family":"Dambuza","given":"Ivy M.","non-dropping-particle":"","parse-names":false,"suffix":""},{"dropping-particle":"","family":"Drake","given":"Thomas","non-dropping-particle":"","parse-names":false,"suffix":""},{"dropping-particle":"","family":"Chapuis","given":"Ambre","non-dropping-particle":"","parse-names":false,"suffix":""},{"dropping-particle":"","family":"Zhou","given":"Xin","non-dropping-particle":"","parse-names":false,"suffix":""},{"dropping-particle":"","family":"Correia","given":"Joao","non-dropping-particle":"","parse-names":false,"suffix":""},{"dropping-particle":"","family":"Taylor-Smith","given":"Leanne","non-dropping-particle":"","parse-names":false,"suffix":""},{"dropping-particle":"","family":"LeGrave","given":"Nathalie","non-dropping-particle":"","parse-names":false,"suffix":""},{"dropping-particle":"","family":"Rasmussen","given":"Tim","non-dropping-particle":"","parse-names":false,"suffix":""},{"dropping-particle":"","family":"Fisher","given":"Matthew C.","non-dropping-particle":"","parse-names":false,"suffix":""},{"dropping-particle":"","family":"Bicanic","given":"Tihana","non-dropping-particle":"","parse-names":false,"suffix":""},{"dropping-particle":"","family":"Harrison","given":"Thomas S.","non-dropping-particle":"","parse-names":false,"suffix":""},{"dropping-particle":"","family":"Jaspars","given":"Marcel","non-dropping-particle":"","parse-names":false,"suffix":""},{"dropping-particle":"","family":"May","given":"Robin C.","non-dropping-particle":"","parse-names":false,"suffix":""},{"dropping-particle":"","family":"Brown","given":"Gordon D.","non-dropping-particle":"","parse-names":false,"suffix":""},{"dropping-particle":"","family":"Yuecel","given":"Raif","non-dropping-particle":"","parse-names":false,"suffix":""},{"dropping-particle":"","family":"MacCallum","given":"Donna M.","non-dropping-particle":"","parse-names":false,"suffix":""},{"dropping-particle":"","family":"Ballou","given":"Elizabeth R.","non-dropping-particle":"","parse-names":false,"suffix":""}],"container-title":"PLOS Pathogens","editor":[{"dropping-particle":"","family":"Mitchell","given":"Aaron P.","non-dropping-particle":"","parse-names":false,"suffix":""}],"id":"ITEM-1","issue":"5","issued":{"date-parts":[["2018","5","18"]]},"page":"e1006978","publisher":"Public Library of Science","title":"The Cryptococcus neoformans Titan cell is an inducible and regulated morphotype underlying pathogenesis","type":"article-journal","volume":"14"},"uris":["http://www.mendeley.com/documents/?uuid=2f1ba7d9-0e59-3e1d-bae3-ed494d4bb3fa"]}],"mendeley":{"formattedCitation":"&lt;sup&gt;11&lt;/sup&gt;","plainTextFormattedCitation":"11","previouslyFormattedCitation":"&lt;sup&gt;10&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FA241A" w:rsidRPr="00FA241A">
        <w:rPr>
          <w:rFonts w:ascii="Calibri" w:eastAsia="Calibri" w:hAnsi="Calibri" w:cs="Calibri"/>
          <w:bCs/>
          <w:noProof/>
          <w:sz w:val="24"/>
          <w:szCs w:val="24"/>
          <w:vertAlign w:val="superscript"/>
        </w:rPr>
        <w:t>11</w:t>
      </w:r>
      <w:r w:rsidRPr="00B96CC3">
        <w:rPr>
          <w:rStyle w:val="FootnoteReference"/>
          <w:rFonts w:ascii="Calibri" w:eastAsia="Calibri" w:hAnsi="Calibri" w:cs="Calibri"/>
          <w:sz w:val="24"/>
          <w:szCs w:val="24"/>
        </w:rPr>
        <w:fldChar w:fldCharType="end"/>
      </w:r>
      <w:r>
        <w:rPr>
          <w:rFonts w:ascii="Calibri" w:eastAsia="Calibri" w:hAnsi="Calibri" w:cs="Calibri"/>
          <w:sz w:val="24"/>
          <w:szCs w:val="24"/>
        </w:rPr>
        <w:t>.</w:t>
      </w:r>
      <w:r w:rsidRPr="00B96CC3">
        <w:rPr>
          <w:rFonts w:ascii="Calibri" w:eastAsia="Calibri" w:hAnsi="Calibri" w:cs="Calibri"/>
          <w:sz w:val="24"/>
          <w:szCs w:val="24"/>
        </w:rPr>
        <w:t xml:space="preserve"> </w:t>
      </w:r>
      <w:r>
        <w:rPr>
          <w:rFonts w:ascii="Calibri" w:eastAsia="Calibri" w:hAnsi="Calibri" w:cs="Calibri"/>
          <w:sz w:val="24"/>
          <w:szCs w:val="24"/>
        </w:rPr>
        <w:t>The peptidoglycan subunit muramyl dipeptide was identified as a component of serum associated with titan cell induction.</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Objective</w:t>
      </w:r>
      <w:r w:rsidRPr="00B96CC3">
        <w:rPr>
          <w:rFonts w:ascii="Calibri" w:eastAsia="Calibri" w:hAnsi="Calibri" w:cs="Calibri"/>
          <w:b/>
          <w:sz w:val="24"/>
          <w:szCs w:val="24"/>
        </w:rPr>
        <w:t>:</w:t>
      </w:r>
    </w:p>
    <w:p w:rsidR="00D63774"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I </w:t>
      </w:r>
      <w:r>
        <w:rPr>
          <w:rFonts w:ascii="Calibri" w:eastAsia="Calibri" w:hAnsi="Calibri" w:cs="Calibri"/>
          <w:sz w:val="24"/>
          <w:szCs w:val="24"/>
        </w:rPr>
        <w:t xml:space="preserve">would like to dissect the role bacterial cell wall components play in the pathogenesis of </w:t>
      </w:r>
      <w:r w:rsidRPr="00B42CBA">
        <w:rPr>
          <w:rFonts w:ascii="Calibri" w:eastAsia="Calibri" w:hAnsi="Calibri" w:cs="Calibri"/>
          <w:i/>
          <w:sz w:val="24"/>
          <w:szCs w:val="24"/>
        </w:rPr>
        <w:t>C. neoformans</w:t>
      </w:r>
      <w:r>
        <w:rPr>
          <w:rFonts w:ascii="Calibri" w:eastAsia="Calibri" w:hAnsi="Calibri" w:cs="Calibri"/>
          <w:sz w:val="24"/>
          <w:szCs w:val="24"/>
        </w:rPr>
        <w:t xml:space="preserve"> in the lung. I will identify which components influence gene expression and examine changes in phenotype to determine the molecular mechanisms underlying these changes.</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rsidR="00D63774" w:rsidRDefault="00D63774" w:rsidP="00D63774">
      <w:pPr>
        <w:pStyle w:val="BodyA"/>
        <w:rPr>
          <w:rFonts w:ascii="Calibri" w:eastAsia="Calibri" w:hAnsi="Calibri" w:cs="Calibri"/>
          <w:color w:val="auto"/>
          <w:sz w:val="24"/>
          <w:szCs w:val="24"/>
        </w:rPr>
      </w:pPr>
      <w:r w:rsidRPr="00D02579">
        <w:rPr>
          <w:rFonts w:ascii="Calibri" w:eastAsia="Calibri" w:hAnsi="Calibri" w:cs="Calibri"/>
          <w:color w:val="auto"/>
          <w:sz w:val="24"/>
          <w:szCs w:val="24"/>
        </w:rPr>
        <w:t xml:space="preserve">I will </w:t>
      </w:r>
      <w:r>
        <w:rPr>
          <w:rFonts w:ascii="Calibri" w:eastAsia="Calibri" w:hAnsi="Calibri" w:cs="Calibri"/>
          <w:color w:val="auto"/>
          <w:sz w:val="24"/>
          <w:szCs w:val="24"/>
        </w:rPr>
        <w:t>incubate growth arrested GA-Cn-YPD and GA-Cn-YNB in serum-free media with purified components of bacterial cell walls. Namely, peptidoglycan subunits N-acetyl glucosamine (NAG), N-acetyl muramic acid (NAM) and muramyl dipeptide found in gram positive and negative bacteria; lipopolysaccharide found in gram negative bacteria and teichoic acid (a major surface antigen) found in gram positive bacteria. These are all commercially available. I will incubate cells at 25⁰C and 37⁰C if capsule was induced at both temperatures in aim 1. Otherwise, I will only carry out these experiments at 37⁰C.</w:t>
      </w:r>
      <w:r w:rsidR="00FE021F" w:rsidRPr="00FE021F">
        <w:rPr>
          <w:rFonts w:ascii="Calibri" w:eastAsia="Calibri" w:hAnsi="Calibri" w:cs="Calibri"/>
          <w:sz w:val="24"/>
          <w:szCs w:val="24"/>
        </w:rPr>
        <w:t xml:space="preserve"> </w:t>
      </w:r>
      <w:r w:rsidR="009D0AC4">
        <w:rPr>
          <w:rFonts w:ascii="Calibri" w:eastAsia="Calibri" w:hAnsi="Calibri" w:cs="Calibri"/>
          <w:sz w:val="24"/>
          <w:szCs w:val="24"/>
        </w:rPr>
        <w:t>(</w:t>
      </w:r>
      <w:r w:rsidR="00FE021F">
        <w:rPr>
          <w:rFonts w:ascii="Calibri" w:eastAsia="Calibri" w:hAnsi="Calibri" w:cs="Calibri"/>
          <w:sz w:val="24"/>
          <w:szCs w:val="24"/>
        </w:rPr>
        <w:t>Appendix 4).</w:t>
      </w:r>
      <w:r>
        <w:rPr>
          <w:rFonts w:ascii="Calibri" w:eastAsia="Calibri" w:hAnsi="Calibri" w:cs="Calibri"/>
          <w:color w:val="auto"/>
          <w:sz w:val="24"/>
          <w:szCs w:val="24"/>
        </w:rPr>
        <w:t xml:space="preserve"> Depending on results from pilot studies I will further characterize the effect of lipopolysaccharide by incubating yeas</w:t>
      </w:r>
      <w:r w:rsidR="00A45EDF">
        <w:rPr>
          <w:rFonts w:ascii="Calibri" w:eastAsia="Calibri" w:hAnsi="Calibri" w:cs="Calibri"/>
          <w:color w:val="auto"/>
          <w:sz w:val="24"/>
          <w:szCs w:val="24"/>
        </w:rPr>
        <w:t>t cells with the subunits lipid-</w:t>
      </w:r>
      <w:r>
        <w:rPr>
          <w:rFonts w:ascii="Calibri" w:eastAsia="Calibri" w:hAnsi="Calibri" w:cs="Calibri"/>
          <w:color w:val="auto"/>
          <w:sz w:val="24"/>
          <w:szCs w:val="24"/>
        </w:rPr>
        <w:t xml:space="preserve">A (antigenic), core polysaccharide and/or o-polysaccharide. </w:t>
      </w:r>
    </w:p>
    <w:p w:rsidR="00D63774" w:rsidRDefault="00D63774" w:rsidP="00D63774">
      <w:pPr>
        <w:pStyle w:val="BodyA"/>
        <w:rPr>
          <w:rFonts w:ascii="Calibri" w:eastAsia="Calibri" w:hAnsi="Calibri" w:cs="Calibri"/>
          <w:color w:val="auto"/>
          <w:sz w:val="24"/>
          <w:szCs w:val="24"/>
        </w:rPr>
      </w:pPr>
      <w:r w:rsidRPr="006F5DE9">
        <w:rPr>
          <w:rFonts w:ascii="Calibri" w:eastAsia="Calibri" w:hAnsi="Calibri" w:cs="Calibri"/>
          <w:color w:val="auto"/>
          <w:sz w:val="24"/>
          <w:szCs w:val="24"/>
        </w:rPr>
        <w:t>I will examine the cells to determine</w:t>
      </w:r>
      <w:r>
        <w:rPr>
          <w:rFonts w:ascii="Calibri" w:eastAsia="Calibri" w:hAnsi="Calibri" w:cs="Calibri"/>
          <w:color w:val="auto"/>
          <w:sz w:val="24"/>
          <w:szCs w:val="24"/>
        </w:rPr>
        <w:t xml:space="preserve"> any phenotypic</w:t>
      </w:r>
      <w:r w:rsidRPr="006F5DE9">
        <w:rPr>
          <w:rFonts w:ascii="Calibri" w:eastAsia="Calibri" w:hAnsi="Calibri" w:cs="Calibri"/>
          <w:color w:val="auto"/>
          <w:sz w:val="24"/>
          <w:szCs w:val="24"/>
        </w:rPr>
        <w:t xml:space="preserve"> changes under each condition</w:t>
      </w:r>
      <w:r w:rsidRPr="00D02579">
        <w:rPr>
          <w:rFonts w:ascii="Calibri" w:eastAsia="Calibri" w:hAnsi="Calibri" w:cs="Calibri"/>
          <w:color w:val="auto"/>
          <w:sz w:val="24"/>
          <w:szCs w:val="24"/>
        </w:rPr>
        <w:t xml:space="preserve">. I will extract RNA for further qualitative and quantitative analysis using </w:t>
      </w:r>
      <w:r w:rsidR="00BD3215">
        <w:rPr>
          <w:rFonts w:ascii="Calibri" w:eastAsia="Calibri" w:hAnsi="Calibri" w:cs="Calibri"/>
          <w:color w:val="auto"/>
          <w:sz w:val="24"/>
          <w:szCs w:val="24"/>
        </w:rPr>
        <w:t>RT-</w:t>
      </w:r>
      <w:r w:rsidRPr="00D02579">
        <w:rPr>
          <w:rFonts w:ascii="Calibri" w:eastAsia="Calibri" w:hAnsi="Calibri" w:cs="Calibri"/>
          <w:color w:val="auto"/>
          <w:sz w:val="24"/>
          <w:szCs w:val="24"/>
        </w:rPr>
        <w:t>qPCR and RNA-seq.</w:t>
      </w:r>
    </w:p>
    <w:p w:rsidR="00D63774" w:rsidRPr="00B96CC3" w:rsidRDefault="00D63774" w:rsidP="00D63774">
      <w:pPr>
        <w:pStyle w:val="BodyA"/>
        <w:rPr>
          <w:rFonts w:ascii="Calibri" w:eastAsia="Calibri" w:hAnsi="Calibri" w:cs="Calibri"/>
          <w:sz w:val="24"/>
          <w:szCs w:val="24"/>
        </w:rPr>
      </w:pP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Aim 3</w:t>
      </w:r>
      <w:r w:rsidRPr="00B96CC3">
        <w:rPr>
          <w:rFonts w:ascii="Calibri" w:eastAsia="Calibri" w:hAnsi="Calibri" w:cs="Calibri"/>
          <w:sz w:val="24"/>
          <w:szCs w:val="24"/>
        </w:rPr>
        <w:t xml:space="preserve">: </w:t>
      </w:r>
      <w:r w:rsidRPr="00B96CC3">
        <w:rPr>
          <w:rFonts w:ascii="Calibri" w:eastAsia="Calibri" w:hAnsi="Calibri" w:cs="Calibri"/>
          <w:b/>
          <w:sz w:val="24"/>
          <w:szCs w:val="24"/>
        </w:rPr>
        <w:t xml:space="preserve">Investigate </w:t>
      </w:r>
      <w:r>
        <w:rPr>
          <w:rFonts w:ascii="Calibri" w:eastAsia="Calibri" w:hAnsi="Calibri" w:cs="Calibri"/>
          <w:b/>
          <w:sz w:val="24"/>
          <w:szCs w:val="24"/>
        </w:rPr>
        <w:t>how SP-D</w:t>
      </w:r>
      <w:r w:rsidRPr="00B96CC3">
        <w:rPr>
          <w:rFonts w:ascii="Calibri" w:eastAsia="Calibri" w:hAnsi="Calibri" w:cs="Calibri"/>
          <w:b/>
          <w:sz w:val="24"/>
          <w:szCs w:val="24"/>
        </w:rPr>
        <w:t xml:space="preserve"> influence</w:t>
      </w:r>
      <w:r>
        <w:rPr>
          <w:rFonts w:ascii="Calibri" w:eastAsia="Calibri" w:hAnsi="Calibri" w:cs="Calibri"/>
          <w:b/>
          <w:sz w:val="24"/>
          <w:szCs w:val="24"/>
        </w:rPr>
        <w:t>s</w:t>
      </w:r>
      <w:r w:rsidRPr="00B96CC3">
        <w:rPr>
          <w:rFonts w:ascii="Calibri" w:eastAsia="Calibri" w:hAnsi="Calibri" w:cs="Calibri"/>
          <w:b/>
          <w:sz w:val="24"/>
          <w:szCs w:val="24"/>
        </w:rPr>
        <w:t xml:space="preserve"> gene expression in </w:t>
      </w:r>
      <w:r w:rsidRPr="00B96CC3">
        <w:rPr>
          <w:rFonts w:ascii="Calibri" w:eastAsia="Calibri" w:hAnsi="Calibri" w:cs="Calibri"/>
          <w:b/>
          <w:i/>
          <w:sz w:val="24"/>
          <w:szCs w:val="24"/>
        </w:rPr>
        <w:t>C. neoformans</w:t>
      </w:r>
      <w:r w:rsidRPr="00B96CC3">
        <w:rPr>
          <w:rFonts w:ascii="Calibri" w:eastAsia="Calibri" w:hAnsi="Calibri" w:cs="Calibri"/>
          <w:b/>
          <w:sz w:val="24"/>
          <w:szCs w:val="24"/>
        </w:rPr>
        <w:t>.</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Following inhalation</w:t>
      </w:r>
      <w:r>
        <w:rPr>
          <w:rFonts w:ascii="Calibri" w:eastAsia="Calibri" w:hAnsi="Calibri" w:cs="Calibri"/>
          <w:sz w:val="24"/>
          <w:szCs w:val="24"/>
        </w:rPr>
        <w:t>,</w:t>
      </w:r>
      <w:r w:rsidRPr="00B96CC3">
        <w:rPr>
          <w:rFonts w:ascii="Calibri" w:eastAsia="Calibri" w:hAnsi="Calibri" w:cs="Calibri"/>
          <w:sz w:val="24"/>
          <w:szCs w:val="24"/>
        </w:rPr>
        <w:t xml:space="preserve"> fungi will first encounter the mucosal surface of the lung which is covered in a film of surfactant that maintains surface tension during respiration and contains soluble effector molecules with antimicrobial properties</w:t>
      </w:r>
      <w:r>
        <w:rPr>
          <w:rFonts w:ascii="Calibri" w:eastAsia="Calibri" w:hAnsi="Calibri" w:cs="Calibri"/>
          <w:sz w:val="24"/>
          <w:szCs w:val="24"/>
        </w:rPr>
        <w:t>,</w:t>
      </w:r>
      <w:r w:rsidRPr="00B96CC3">
        <w:rPr>
          <w:rFonts w:ascii="Calibri" w:eastAsia="Calibri" w:hAnsi="Calibri" w:cs="Calibri"/>
          <w:sz w:val="24"/>
          <w:szCs w:val="24"/>
        </w:rPr>
        <w:t xml:space="preserve"> such as the collectins and host-defense peptides.  </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Collectins</w:t>
      </w:r>
      <w:r>
        <w:rPr>
          <w:rFonts w:ascii="Calibri" w:eastAsia="Calibri" w:hAnsi="Calibri" w:cs="Calibri"/>
          <w:sz w:val="24"/>
          <w:szCs w:val="24"/>
        </w:rPr>
        <w:t>, surfactant proteins A and D and mannose binding lectins</w:t>
      </w:r>
      <w:r w:rsidRPr="00B96CC3">
        <w:rPr>
          <w:rFonts w:ascii="Calibri" w:eastAsia="Calibri" w:hAnsi="Calibri" w:cs="Calibri"/>
          <w:sz w:val="24"/>
          <w:szCs w:val="24"/>
        </w:rPr>
        <w:t xml:space="preserve"> (SP-A, SP-D and MBL’s)</w:t>
      </w:r>
      <w:r>
        <w:rPr>
          <w:rFonts w:ascii="Calibri" w:eastAsia="Calibri" w:hAnsi="Calibri" w:cs="Calibri"/>
          <w:sz w:val="24"/>
          <w:szCs w:val="24"/>
        </w:rPr>
        <w:t>,</w:t>
      </w:r>
      <w:r w:rsidRPr="00B96CC3">
        <w:rPr>
          <w:rFonts w:ascii="Calibri" w:eastAsia="Calibri" w:hAnsi="Calibri" w:cs="Calibri"/>
          <w:sz w:val="24"/>
          <w:szCs w:val="24"/>
        </w:rPr>
        <w:t xml:space="preserve"> have previously been shown to bind to </w:t>
      </w:r>
      <w:r w:rsidRPr="00B96CC3">
        <w:rPr>
          <w:rFonts w:ascii="Calibri" w:eastAsia="Calibri" w:hAnsi="Calibri" w:cs="Calibri"/>
          <w:i/>
          <w:sz w:val="24"/>
          <w:szCs w:val="24"/>
        </w:rPr>
        <w:t xml:space="preserve">C. neoformans </w:t>
      </w:r>
      <w:r w:rsidRPr="00B96CC3">
        <w:rPr>
          <w:rStyle w:val="FootnoteReference"/>
          <w:rFonts w:ascii="Calibri" w:eastAsia="Calibri" w:hAnsi="Calibri" w:cs="Calibri"/>
          <w:i/>
          <w:sz w:val="24"/>
          <w:szCs w:val="24"/>
        </w:rPr>
        <w:fldChar w:fldCharType="begin" w:fldLock="1"/>
      </w:r>
      <w:r w:rsidR="00FA241A">
        <w:rPr>
          <w:rFonts w:ascii="Calibri" w:eastAsia="Calibri" w:hAnsi="Calibri" w:cs="Calibri"/>
          <w:sz w:val="24"/>
          <w:szCs w:val="24"/>
        </w:rPr>
        <w:instrText>ADDIN CSL_CITATION {"citationItems":[{"id":"ITEM-1","itemData":{"ISSN":"0014-2972","PMID":"10092994","abstract":"BACKGROUND Evidence is accumulating that the alveolar collecting surfactant protein A (SP-A) plays an important role in the first line of defence against infiltrating pathogenic micro-organisms and viruses. The ability of SP-A to facilitate the binding and uptake of acapsular Cryptococcus neoformans by monocyte-derived macrophages, human alveolar macrophages, monocytes and polymorphonuclear leucocytes was investigated. MATERIALS AND METHODS Binding, competition and phagocytosis experiments were performed using a flow cytometry technique. RESULTS SP-A bound to both the acapsular and the encapsulated form of C. neoformans in a concentration-dependent manner. SP-A showed a threefold better binding to the acapsular yeast: this binding was partly calcium dependent and could be inhibited by mannose (ID50 = 3 mmol L-1) and glucose (ID50 = 2.1 mmol L-1) but not by galactose (ID50 = 391 mmol L-1). SP-A did not function as an opsonin in phagocytosis of acapsular C. neoformans for any of the phagocytes studied. CONCLUSION Our results indicate that SP-A binds in a concentration-dependent manner to both encapsulated and acapsular C. neoformans. Despite SP-A binding to the acapsular C. neoformans, phagocytosis by various phagocytes was not enhanced.","author":[{"dropping-particle":"","family":"Walenkamp","given":"A M","non-dropping-particle":"","parse-names":false,"suffix":""},{"dropping-particle":"","family":"Verheul","given":"A F","non-dropping-particle":"","parse-names":false,"suffix":""},{"dropping-particle":"","family":"Scharringa","given":"J","non-dropping-particle":"","parse-names":false,"suffix":""},{"dropping-particle":"","family":"Hoepelman","given":"I M","non-dropping-particle":"","parse-names":false,"suffix":""}],"container-title":"European journal of clinical investigation","id":"ITEM-1","issue":"1","issued":{"date-parts":[["1999","1"]]},"page":"83-92","title":"Pulmonary surfactant protein A binds to Cryptococcus neoformans without promoting phagocytosis.","type":"article-journal","volume":"29"},"uris":["http://www.mendeley.com/documents/?uuid=499ca43b-089c-3450-a0c7-f613adc961f4"]},{"id":"ITEM-2","itemData":{"DOI":"10.1128/IAI.72.1.145-153.2004","ISSN":"0019-9567","PMID":"14688091","abstract":"Cryptococcus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immunity","id":"ITEM-3","issue":"9","issued":{"date-parts":[["1995","9"]]},"page":"3360-6","publisher":"American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cells.","type":"article-journal","volume":"63"},"uris":["http://www.mendeley.com/documents/?uuid=0897f0f4-c393-3afa-bbe6-d243a702855c"]},{"id":"ITEM-4","itemData":{"DOI":"10.1186/1471-2180-8-229","ISSN":"1471-2180","abstract":"Mannose binding lectin (MBL) is an important host defence protein against opportunistic fungal pathogens. This carbohydrate-binding protein, an opsonin and lectin pathway activator, binds through multiple lectin domains to the repeating sugar arrays displayed on the surface of a wide range of clinically relevant microbial species. We investigated the contribution of MBL to antifungal innate immunity towards C. parapsilosis in vitro. High avidity binding was observed between MBL and C. albicans and C. parapsilosis. Addition of MBL to MBL deficient serum increased the deposition of C4 and C3b and enhanced the uptake of C. albicans, C. parapsilosis and acapsular C. neoformans by polymorphonuclear cells (PMNs). Compared to other microorganisms, such as Escherichia coli, Staphylococcus aureus and Cryptococcus neoformans, C. parapsilosis and Candida albicans were potent activators of the lectin pathway. Our results suggest that MBL plays a crucial role in the innate immunity against infections caused by yeast by increasing uptake by PMN.","author":[{"dropping-particle":"","family":"Asbeck","given":"Eveline C","non-dropping-particle":"van","parse-names":false,"suffix":""},{"dropping-particle":"","family":"Hoepelman","given":"Andy IM","non-dropping-particle":"","parse-names":false,"suffix":""},{"dropping-particle":"","family":"Scharringa","given":"Jelle","non-dropping-particle":"","parse-names":false,"suffix":""},{"dropping-particle":"","family":"Herpers","given":"Bjorn L","non-dropping-particle":"","parse-names":false,"suffix":""},{"dropping-particle":"","family":"Verhoef","given":"Jan","non-dropping-particle":"","parse-names":false,"suffix":""}],"container-title":"BMC Microbiology","id":"ITEM-4","issue":"1","issued":{"date-parts":[["2008","12","18"]]},"page":"229","publisher":"BioMed Central","title":"Mannose binding lectin plays a crucial role in innate immunity against yeast by enhanced complement activation and enhanced uptake of polymorphonuclear cells","type":"article-journal","volume":"8"},"uris":["http://www.mendeley.com/documents/?uuid=0f1e222a-ee98-316b-945e-62cbd3baadb2"]},{"id":"ITEM-5","itemData":{"ISSN":"0022-1767","PMID":"9300722","abstract":"We have shown previously that specific receptors on PBMCs and a serum factor other than Ab and complement are involved in the TNF-alpha response to cryptococcal mannoprotein (MP2). To characterize the mechanism of MP2 recognition by PBMCs, 10(6) PBMCs were incubated with 25 microg of FITC-labeled MP2 in 10% normal human serum (1 h). The cells were analyzed by flow cytometry. FITC-MP2 binding was CaCl2 and temperature dependent and was enhanced by prestimulating PBMCs with unlabeled MP2. Binding to PBMCs was specific, since unlabeled MP and mannan produced dose-dependent inhibition. Beta-Glucan laminarin produced background inhibition. mAbs against CD14, CD11b, and CD18 did not prevent FITC-MP2 binding to PBMCs, implying that these receptors are not involved in MP2 recognition by PBMCs. mAb against CD14 blocked (&gt;90%) MP2-induced TNF-alpha release by PBMCs, while mAbs against CD11b/CD18 caused no inhibition. Removal of human mannose binding protein (hMBP) by preincubation of serum with a specific mAb abrogated TNF-alpha induction by MP2 and strongly inhibited its binding to PBMCs. Recombinant hMBP enhanced TNF-alpha induction by MP2 as well as binding of FITC-MP2 to PBMCs. In addition, incubation of serum with MP2-coated beads and analysis by SDS-PAGE resulted in the detection of a protein of approximately 33/34 kDa that could be partially removed by preincubating the serum with hMBP mAb. We conclude that hMBP is involved in the binding of MP2 to PBMCs and the release of TNF-alpha.","author":[{"dropping-particle":"","family":"Chaka","given":"W","non-dropping-particle":"","parse-names":false,"suffix":""},{"dropping-particle":"","family":"Verheul","given":"A F","non-dropping-particle":"","parse-names":false,"suffix":""},{"dropping-particle":"V","family":"Vaishnav","given":"V","non-dropping-particle":"","parse-names":false,"suffix":""},{"dropping-particle":"","family":"Cherniak","given":"R","non-dropping-particle":"","parse-names":false,"suffix":""},{"dropping-particle":"","family":"Scharringa","given":"J","non-dropping-particle":"","parse-names":false,"suffix":""},{"dropping-particle":"","family":"Verhoef","given":"J","non-dropping-particle":"","parse-names":false,"suffix":""},{"dropping-particle":"","family":"Snippe","given":"H","non-dropping-particle":"","parse-names":false,"suffix":""},{"dropping-particle":"","family":"Hoepelman","given":"A I","non-dropping-particle":"","parse-names":false,"suffix":""}],"container-title":"Journal of immunology (Baltimore, Md. : 1950)","id":"ITEM-5","issue":"6","issued":{"date-parts":[["1997","9","15"]]},"page":"2979-85","title":"Induction of TNF-alpha in human peripheral blood mononuclear cells by the mannoprotein of Cryptococcus neoformans involves human mannose binding protein.","type":"article-journal","volume":"159"},"uris":["http://www.mendeley.com/documents/?uuid=26bac6ca-d323-3a34-b5d2-bf8b20fc8a86"]}],"mendeley":{"formattedCitation":"&lt;sup&gt;12–16&lt;/sup&gt;","plainTextFormattedCitation":"12–16","previouslyFormattedCitation":"&lt;sup&gt;11–15&lt;/sup&gt;"},"properties":{"noteIndex":0},"schema":"https://github.com/citation-style-language/schema/raw/master/csl-citation.json"}</w:instrText>
      </w:r>
      <w:r w:rsidRPr="00B96CC3">
        <w:rPr>
          <w:rStyle w:val="FootnoteReference"/>
          <w:rFonts w:ascii="Calibri" w:eastAsia="Calibri" w:hAnsi="Calibri" w:cs="Calibri"/>
          <w:i/>
          <w:sz w:val="24"/>
          <w:szCs w:val="24"/>
        </w:rPr>
        <w:fldChar w:fldCharType="separate"/>
      </w:r>
      <w:r w:rsidR="00FA241A" w:rsidRPr="00FA241A">
        <w:rPr>
          <w:rFonts w:ascii="Calibri" w:eastAsia="Calibri" w:hAnsi="Calibri" w:cs="Calibri"/>
          <w:bCs/>
          <w:noProof/>
          <w:sz w:val="24"/>
          <w:szCs w:val="24"/>
          <w:vertAlign w:val="superscript"/>
        </w:rPr>
        <w:t>12–16</w:t>
      </w:r>
      <w:r w:rsidRPr="00B96CC3">
        <w:rPr>
          <w:rStyle w:val="FootnoteReference"/>
          <w:rFonts w:ascii="Calibri" w:eastAsia="Calibri" w:hAnsi="Calibri" w:cs="Calibri"/>
          <w:i/>
          <w:sz w:val="24"/>
          <w:szCs w:val="24"/>
        </w:rPr>
        <w:fldChar w:fldCharType="end"/>
      </w:r>
      <w:r w:rsidRPr="00B96CC3">
        <w:rPr>
          <w:rFonts w:ascii="Calibri" w:eastAsia="Calibri" w:hAnsi="Calibri" w:cs="Calibri"/>
          <w:sz w:val="24"/>
          <w:szCs w:val="24"/>
        </w:rPr>
        <w:t xml:space="preserve">. </w:t>
      </w:r>
      <w:r w:rsidRPr="00B96CC3">
        <w:rPr>
          <w:rFonts w:ascii="Calibri" w:eastAsia="Calibri" w:hAnsi="Calibri" w:cs="Calibri"/>
          <w:i/>
          <w:sz w:val="24"/>
          <w:szCs w:val="24"/>
        </w:rPr>
        <w:t>In vitro</w:t>
      </w:r>
      <w:r w:rsidRPr="00B96CC3">
        <w:rPr>
          <w:rFonts w:ascii="Calibri" w:eastAsia="Calibri" w:hAnsi="Calibri" w:cs="Calibri"/>
          <w:sz w:val="24"/>
          <w:szCs w:val="24"/>
        </w:rPr>
        <w:t xml:space="preserve"> studies suggest SP-A </w:t>
      </w:r>
      <w:r>
        <w:rPr>
          <w:rFonts w:ascii="Calibri" w:eastAsia="Calibri" w:hAnsi="Calibri" w:cs="Calibri"/>
          <w:sz w:val="24"/>
          <w:szCs w:val="24"/>
        </w:rPr>
        <w:t xml:space="preserve">has little effect on </w:t>
      </w:r>
      <w:r w:rsidRPr="00CE747F">
        <w:rPr>
          <w:rFonts w:ascii="Calibri" w:eastAsia="Calibri" w:hAnsi="Calibri" w:cs="Calibri"/>
          <w:i/>
          <w:sz w:val="24"/>
          <w:szCs w:val="24"/>
        </w:rPr>
        <w:t>C. neoformans</w:t>
      </w:r>
      <w:r>
        <w:rPr>
          <w:rFonts w:ascii="Calibri" w:eastAsia="Calibri" w:hAnsi="Calibri" w:cs="Calibri"/>
          <w:sz w:val="24"/>
          <w:szCs w:val="24"/>
        </w:rPr>
        <w:t xml:space="preserve"> </w:t>
      </w:r>
      <w:r w:rsidRPr="00B96CC3">
        <w:rPr>
          <w:rStyle w:val="FootnoteReference"/>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{"citationItems":[{"id":"ITEM-1","itemData":{"DOI":"10.1371/journal.pone.0001370","ISSN":"1932-6203","PMID":"18159253","abstract":"Initiation of a protective immune response to infection by the pathogenic fungus Cryptococcus neoformans is mediated in part by host factors that promote interactions between immune cells and C. neoformans yeast. Surfactant protein A (SP-A) contributes positively to pulmonary host defenses against a variety of bacteria, viruses, and fungi in part by promoting the recognition and phagocytosis of these pathogens by alveolar macrophages. In the present study we investigated the role of SP-A as a mediator of host defense against the pulmonary pathogen, C. neoformans. Previous studies have shown that SP-A binds to acapsular and minimally encapsulated strains of C. neoformans. Using in vitro binding assays we confirmed that SP-A does not directly bind to a fully encapsulated strain of C. neoformans (H99). However, we observed that when C. neoformans was incubated in bronchoalveolar fluid, SP-A binding was detected, suggesting that another alveolar host factor may enable SP-A binding. Indeed, we discovered that SP-A binds encapsulated C. neoformans via a previously unknown IgG dependent mechanism. The consequence of this interaction was the inhibition of IgG-mediated phagocytosis of C. neoformans by alveolar macrophages. Therefore, to assess the contribution of SP-A to the pulmonary host defenses we compared in vivo infections using SP-A null mice (SP-A-/-) and wild-type mice in an intranasal infection model. We found that the immune response assessed by cellular counts, TNFalpha cytokine production, and fungal burden in lungs and bronchoalveolar lavage fluids during early stages of infection were equivalent. Furthermore, the survival outcome of C. neoformans infection was equivalent in SP-A-/- and wild-type mice. Our results suggest that unlike a variety of bacteria, viruses, and other fungi, progression of disease with an inhalational challenge of C. neoformans does not appear to be negatively or positively affected by SP-A mediated mechanisms of pulmonary host defense.","author":[{"dropping-particle":"","family":"Giles","given":"Steven S","non-dropping-particle":"","parse-names":false,"suffix":""},{"dropping-particle":"","family":"Zaas","given":"Aimee K","non-dropping-particle":"","parse-names":false,"suffix":""},{"dropping-particle":"","family":"Reidy","given":"Mike F","non-dropping-particle":"","parse-names":false,"suffix":""},{"dropping-particle":"","family":"Perfect","given":"John R","non-dropping-particle":"","parse-names":false,"suffix":""},{"dropping-particle":"","family":"Wright","given":"Jo Rae","non-dropping-particle":"","parse-names":false,"suffix":""}],"container-title":"PloS one","id":"ITEM-1","issue":"12","issued":{"date-parts":[["2007","12","26"]]},"page":"e1370","title":"Cryptococcus neoformans is resistant to surfactant protein A mediated host defense mechanisms.","type":"article-journal","volume":"2"},"uris":["http://www.mendeley.com/documents/?uuid=da96714e-545b-30ac-9f78-e37366b34cc7"]}],"mendeley":{"formattedCitation":"&lt;sup&gt;17&lt;/sup&gt;","plainTextFormattedCitation":"17","previouslyFormattedCitation":"&lt;sup&gt;16&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FA241A" w:rsidRPr="00FA241A">
        <w:rPr>
          <w:rFonts w:ascii="Calibri" w:eastAsia="Calibri" w:hAnsi="Calibri" w:cs="Calibri"/>
          <w:bCs/>
          <w:noProof/>
          <w:sz w:val="24"/>
          <w:szCs w:val="24"/>
          <w:vertAlign w:val="superscript"/>
        </w:rPr>
        <w:t>17</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In contrast</w:t>
      </w:r>
      <w:r>
        <w:rPr>
          <w:rFonts w:ascii="Calibri" w:eastAsia="Calibri" w:hAnsi="Calibri" w:cs="Calibri"/>
          <w:sz w:val="24"/>
          <w:szCs w:val="24"/>
        </w:rPr>
        <w:t>,</w:t>
      </w:r>
      <w:r w:rsidRPr="00B96CC3">
        <w:rPr>
          <w:rFonts w:ascii="Calibri" w:eastAsia="Calibri" w:hAnsi="Calibri" w:cs="Calibri"/>
          <w:sz w:val="24"/>
          <w:szCs w:val="24"/>
        </w:rPr>
        <w:t xml:space="preserve"> SP-D binds acapsular yeast with a high affinity (and capsular yeast with a lower affinity) causing profound aggregation, increased phagocytosis and enhanced fungal survival </w:t>
      </w:r>
      <w:r w:rsidRPr="00B96CC3">
        <w:rPr>
          <w:rStyle w:val="FootnoteReference"/>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{"citationItems":[{"id":"ITEM-1","itemData":{"ISSN":"0019-9567","PMID":"7642263","abstract":"Cryptococcus neoformans is an opportunistic pathogen in AIDS patients causing disseminated disease and lethal meningitis after inhalation of acapsular or sparsely encapsulated yeast cells. In this study we have investigated whether a recently described family of primitive opsonins, termed collectins, contribute to innate resistance against C. neoformans. The pulmonary surfactant proteins SP-A and SP-D as well as the serum collectins mannose-binding protein and CL-43 bound in a calcium-dependent manner to acapsular C. neoformans in vitro. Binding was concentration dependent and abolished by competition with defined mono- and oligosaccharides. In contrast, no binding of the collectins was observed with the encapsulated form of the yeast. Furthermore, binding of purified collectin SP-D, but not SP-A, mannose-binding protein, or CL-43, led to a concentration-dependent agglutination of acapsular C. neoformans. These data indicate that collectins recognize carbohydrate structures in the cell wall of an initial infectious form of C. neoformans and may play a role in early antifungal defenses in the lung.","author":[{"dropping-particle":"","family":"Schelenz","given":"S","non-dropping-particle":"","parse-names":false,"suffix":""},{"dropping-particle":"","family":"Malhotra","given":"R","non-dropping-particle":"","parse-names":false,"suffix":""},{"dropping-particle":"","family":"Sim","given":"R B","non-dropping-particle":"","parse-names":false,"suffix":""},{"dropping-particle":"","family":"Holmskov","given":"U","non-dropping-particle":"","parse-names":false,"suffix":""},{"dropping-particle":"","family":"Bancroft","given":"G J","non-dropping-particle":"","parse-names":false,"suffix":""}],"container-title":"Infection and immunity","id":"ITEM-1","issue":"9","issued":{"date-parts":[["1995","9"]]},"page":"3360-6","publisher":"American Society for Microbiology (ASM)","title":"Binding of host collectins to the pathogenic yeast Cryptococcus neoformans: human surfactant protein D acts as an agglutinin for acapsular yeast cells.","type":"article-journal","volume":"63"},"uris":["http://www.mendeley.com/documents/?uuid=0897f0f4-c393-3afa-bbe6-d243a702855c"]},{"id":"ITEM-2","itemData":{"DOI":"10.1128/IAI.72.1.145-153.2004","ISSN":"0019-9567","PMID":"14688091","abstract":"Cryptococcus neoformans is an opportunistic pathogen invading the immunocompromised host. Infection starts with the inhalation of acapsular or sparsely encapsulated cells, after which capsule synthesis is initiated. The capsule is the main virulence factor of this yeast-like fungus. Pulmonary surfactant protein D (SP-D) is an important component of the local innate defense system. In the present study, interactions of SP-D with intact C. neoformans cells and their isolated capsular components were investigated. Although encapsulated cryptococci were bound, SP-D showed the highest affinity for acapsular C. neoformans. Only acapsular cryptococci were aggregated by SP-D. Furthermore, the cryptococcal capsular components glucuronoxylomannan (GXM) and mannoprotein 1 (MP1) were bound with relatively high affinity, in contrast to GalXM and MP2. Binding as well as aggregation of acapsular C. neoformans by SP-D could be inhibited by GXM in concentrations that are likely to be present in the lung after infection, suggesting that not only the capsule hampers SP-D function within the innate defense system of the lung but also the secreted capsular component GXM.","author":[{"dropping-particle":"","family":"Wetering","given":"J K","non-dropping-particle":"van de","parse-names":false,"suffix":""},{"dropping-particle":"","family":"Coenjaerts","given":"F E J","non-dropping-particle":"","parse-names":false,"suffix":""},{"dropping-particle":"","family":"Vaandrager","given":"A B","non-dropping-particle":"","parse-names":false,"suffix":""},{"dropping-particle":"","family":"Golde","given":"L M G","non-dropping-particle":"van","parse-names":false,"suffix":""},{"dropping-particle":"","family":"Batenburg","given":"J J","non-dropping-particle":"","parse-names":false,"suffix":""}],"container-title":"Infection and immunity","id":"ITEM-2","issue":"1","issued":{"date-parts":[["2004","1"]]},"page":"145-53","publisher":"American Society for Microbiology (ASM)","title":"Aggregation of Cryptococcus neoformans by surfactant protein D is inhibited by its capsular component glucuronoxylomannan.","type":"article-journal","volume":"72"},"uris":["http://www.mendeley.com/documents/?uuid=6230a765-a572-3d8d-97cd-c9ce73cf6393"]},{"id":"ITEM-3","itemData":{"DOI":"10.1128/IAI.00088-09","ISSN":"1098-5522","PMID":"19451250","abstract":"Cryptococcus neoformans is a facultative intracellular opportunistic pathogen and the leading cause of fungal meningitis in humans. In the absence of a protective cellular immune response, the inhalation of C. neoformans cells or spores results in pulmonary infection. C. neoformans cells produce a polysaccharide capsule composed predominantly of glucuronoxylomannan, which constitutes approximately 90% of the capsular material. In the lungs, surfactant protein A (SP-A) and SP-D contribute to immune defense by facilitating the aggregation, uptake, and killing of many microorganisms by phagocytic cells. We hypothesized that SP-D plays a role in C. neoformans pathogenesis by binding to and enhancing the phagocytosis of the yeast. Here, the abilities of SP-D to bind to and facilitate the phagocytosis and survival of the wild-type encapsulated strain H99 and the cap59Delta mutant hypocapsular strain are assessed. SP-D binding to cap59Delta mutant cells was approximately sixfold greater than binding to wild-type cells. SP-D enhanced the phagocytosis of cap59Delta cells by approximately fourfold in vitro. To investigate SP-D binding in vivo, SP-D(-/-) mice were intranasally inoculated with Alexa Fluor 488-labeled cap59Delta or H99 cells. By confocal microscopy, a greater number of phagocytosed C. neoformans cells in wild-type mice than in SP-D(-/-) mice was observed, consistent with in vitro data. Interestingly, SP-D protected C. neoformans cells against macrophage-mediated defense mechanisms in vitro, as demonstrated by an analysis of fungal viability using a CFU assay. These findings provide evidence that C. neoformans subverts host defense mechanisms involving surfactant, establishing a novel virulence paradigm that may be targeted for therapy.","author":[{"dropping-particle":"","family":"Geunes-Boyer","given":"Scarlett","non-dropping-particle":"","parse-names":false,"suffix":""},{"dropping-particle":"","family":"Oliver","given":"Timothy N","non-dropping-particle":"","parse-names":false,"suffix":""},{"dropping-particle":"","family":"Janbon","given":"Guilhem","non-dropping-particle":"","parse-names":false,"suffix":""},{"dropping-particle":"","family":"Lodge","given":"Jennifer K","non-dropping-particle":"","parse-names":false,"suffix":""},{"dropping-particle":"","family":"Heitman","given":"Joseph","non-dropping-particle":"","parse-names":false,"suffix":""},{"dropping-particle":"","family":"Perfect","given":"John R","non-dropping-particle":"","parse-names":false,"suffix":""},{"dropping-particle":"","family":"Wright","given":"Jo Rae","non-dropping-particle":"","parse-names":false,"suffix":""}],"container-title":"Infection and immunity","id":"ITEM-3","issue":"7","issued":{"date-parts":[["2009","7","1"]]},"page":"2783-94","publisher":"American Society for Microbiology Journals","title":"Surfactant protein D increases phagocytosis of hypocapsular Cryptococcus neoformans by murine macrophages and enhances fungal survival.","type":"article-journal","volume":"77"},"uris":["http://www.mendeley.com/documents/?uuid=389908c5-b432-31a9-81c7-fce96359cfce"]},{"id":"ITEM-4","itemData":{"DOI":"10.1128/IAI.05613-11","ISSN":"0019-9567","abstract":"&lt;p&gt; Concurrent with the global escalation of the AIDS pandemic, cryptococcal infections are increasing and are of significant medical importance. Furthermore, &lt;named-content content-type=\"genus-species\" type=\"simple\"&gt;Cryptococcus neoformans&lt;/named-content&gt; has become a primary human pathogen, causing infection in seemingly healthy individuals. Although numerous studies have elucidated the virulence properties of &lt;named-content content-type=\"genus-species\" type=\"simple\"&gt;C. neoformans&lt;/named-content&gt; , less is understood regarding lung host immune factors during early stages of fungal infection. Based on our previous studies documenting that pulmonary surfactant protein D (SP-D) protects &lt;named-content content-type=\"genus-species\" type=\"simple\"&gt;C. neoformans&lt;/named-content&gt; cells against macrophage-mediated defense mechanisms &lt;italic&gt;in vitro&lt;/italic&gt; (S. Geunes-Boyer et al., Infect. Immun. 77:2783–2794, 2009), we postulated that SP-D would facilitate fungal infection &lt;italic&gt;in vivo&lt;/italic&gt; . To test this hypothesis, we examined the role of SP-D in response to &lt;named-content content-type=\"genus-species\" type=\"simple\"&gt;C. neoformans&lt;/named-content&gt; using SP-D &lt;sup&gt;−/−&lt;/sup&gt; mice. Here, we demonstrate that mice lacking SP-D were partially protected during &lt;named-content content-type=\"genus-species\" type=\"simple\"&gt;C. neoformans&lt;/named-content&gt;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 &lt;sub&gt;2&lt;/sub&gt; O &lt;sub&gt;2&lt;/sub&gt; )-induced oxidative stress &lt;italic&gt;in vitro&lt;/italic&gt; and &lt;italic&gt;in vivo&lt;/italic&gt; . These findings indicate that &lt;named-content content-type=\"genus-species\" type=\"simple\"&gt;C. neoformans&lt;/named-content&gt; is capable of coopting host SP-D to increase host susceptibility to the yeast. This study establishes a new paradigm for the role played by SP-D during host responses to &lt;named-content content-type=\"genus-species\" type=\"simple\"&gt;C. neoformans&lt;/named-content&gt; and consequently imparts insight into potential future preventive and/or treatment strategies for cryptococcosis. &lt;/p&gt;","author":[{"dropping-particle":"","family":"Geunes-Boyer","given":"Scarlett","non-dropping-particle":"","parse-names":false,"suffix":""},{"dropping-particle":"","family":"Beers","given":"Michael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Immunity","editor":[{"dropping-particle":"","family":"Deepe","given":"G. S.","non-dropping-particle":"","parse-names":false,"suffix":""}],"id":"ITEM-4","issue":"7","issued":{"date-parts":[["2012","7"]]},"page":"2444-2453","title":"Surfactant Protein D Facilitates Cryptococcus neoformans Infection","type":"article-journal","volume":"80"},"uris":["http://www.mendeley.com/documents/?uuid=e5c1204f-0a3a-3e2d-a614-0eb1cd492120"]}],"mendeley":{"formattedCitation":"&lt;sup&gt;13,14,18,19&lt;/sup&gt;","plainTextFormattedCitation":"13,14,18,19","previouslyFormattedCitation":"&lt;sup&gt;12,13,17,18&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FA241A" w:rsidRPr="00FA241A">
        <w:rPr>
          <w:rFonts w:ascii="Calibri" w:eastAsia="Calibri" w:hAnsi="Calibri" w:cs="Calibri"/>
          <w:bCs/>
          <w:noProof/>
          <w:sz w:val="24"/>
          <w:szCs w:val="24"/>
          <w:vertAlign w:val="superscript"/>
        </w:rPr>
        <w:t>13,14,18,19</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.Previous studies, using animal models, have suggested a protect</w:t>
      </w:r>
      <w:r>
        <w:rPr>
          <w:rFonts w:ascii="Calibri" w:eastAsia="Calibri" w:hAnsi="Calibri" w:cs="Calibri"/>
          <w:sz w:val="24"/>
          <w:szCs w:val="24"/>
        </w:rPr>
        <w:t>ive role for SP-D in</w:t>
      </w:r>
      <w:r w:rsidRPr="00B96CC3">
        <w:rPr>
          <w:rFonts w:ascii="Calibri" w:eastAsia="Calibri" w:hAnsi="Calibri" w:cs="Calibri"/>
          <w:sz w:val="24"/>
          <w:szCs w:val="24"/>
        </w:rPr>
        <w:t xml:space="preserve"> infection </w:t>
      </w:r>
      <w:r w:rsidRPr="00B96CC3">
        <w:rPr>
          <w:rStyle w:val="FootnoteReference"/>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{"citationItems":[{"id":"ITEM-1","itemData":{"DOI":"10.1128/IAI.05613-11","ISSN":"1098-5522","PMID":"22547543","abstract":"Concurrent with the global escalation of the AIDS pandemic, cryptococcal infections are increasing and are of significant medical importance. Furthermore, Cryptococcus neoformans has become a primary human pathogen, causing infection in seemingly healthy individuals. Although numerous studies have elucidated the virulence properties of C. neoformans, less is understood regarding lung host immune factors during early stages of fungal infection. Based on our previous studies documenting that pulmonary surfactant protein D (SP-D) protects C. neoformans cells against macrophage-mediated defense mechanisms in vitro (S. Geunes-Boyer et al., Infect. Immun. 77:2783-2794, 2009), we postulated that SP-D would facilitate fungal infection in vivo. To test this hypothesis, we examined the role of SP-D in response to C. neoformans using SP-D⁻/⁻ mice. Here, we demonstrate that mice lacking SP-D were partially protected during C. neoformans infection; they displayed a longer mean time to death and decreased fungal burden at several time points postinfection than wild-type mice. This effect was reversed by the administration of exogenous SP-D. Furthermore, we show that SP-D bound to the surface of the yeast cells and protected the pathogenic microbes against macrophage-mediated defense mechanisms and hydrogen peroxide (H₂O₂)-induced oxidative stress in vitro and in vivo. These findings indicate that C. neoformans is capable of coopting host SP-D to increase host susceptibility to the yeast. This study establishes a new paradigm for the role played by SP-D during host responses to C. neoformans and consequently imparts insight into potential future preventive and/or treatment strategies for cryptococcosis.","author":[{"dropping-particle":"","family":"Geunes-Boyer","given":"Scarlett","non-dropping-particle":"","parse-names":false,"suffix":""},{"dropping-particle":"","family":"Beers","given":"Michael F","non-dropping-particle":"","parse-names":false,"suffix":""},{"dropping-particle":"","family":"Perfect","given":"John R","non-dropping-particle":"","parse-names":false,"suffix":""},{"dropping-particle":"","family":"Heitman","given":"Joseph","non-dropping-particle":"","parse-names":false,"suffix":""},{"dropping-particle":"","family":"Wright","given":"Jo Rae","non-dropping-particle":"","parse-names":false,"suffix":""}],"container-title":"Infection and immunity","id":"ITEM-1","issue":"7","issued":{"date-parts":[["2012","7"]]},"page":"2444-53","publisher":"American Society for Microbiology (ASM)","title":"Surfactant protein D facilitates Cryptococcus neoformans infection.","type":"article-journal","volume":"80"},"uris":["http://www.mendeley.com/documents/?uuid=e25e0d88-59f4-366b-82ae-1e344f619a61"]}],"mendeley":{"formattedCitation":"&lt;sup&gt;20&lt;/sup&gt;","plainTextFormattedCitation":"20","previouslyFormattedCitation":"&lt;sup&gt;19&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FA241A" w:rsidRPr="00FA241A">
        <w:rPr>
          <w:rFonts w:ascii="Calibri" w:eastAsia="Calibri" w:hAnsi="Calibri" w:cs="Calibri"/>
          <w:bCs/>
          <w:noProof/>
          <w:sz w:val="24"/>
          <w:szCs w:val="24"/>
          <w:vertAlign w:val="superscript"/>
        </w:rPr>
        <w:t>20</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Objective</w:t>
      </w:r>
      <w:r w:rsidRPr="00B96CC3">
        <w:rPr>
          <w:rFonts w:ascii="Calibri" w:eastAsia="Calibri" w:hAnsi="Calibri" w:cs="Calibri"/>
          <w:b/>
          <w:sz w:val="24"/>
          <w:szCs w:val="24"/>
        </w:rPr>
        <w:t>:</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 xml:space="preserve">I would like to investigate if </w:t>
      </w:r>
      <w:r>
        <w:rPr>
          <w:rFonts w:ascii="Calibri" w:eastAsia="Calibri" w:hAnsi="Calibri" w:cs="Calibri"/>
          <w:sz w:val="24"/>
          <w:szCs w:val="24"/>
        </w:rPr>
        <w:t xml:space="preserve">binding of </w:t>
      </w:r>
      <w:r w:rsidRPr="00B96CC3">
        <w:rPr>
          <w:rFonts w:ascii="Calibri" w:eastAsia="Calibri" w:hAnsi="Calibri" w:cs="Calibri"/>
          <w:sz w:val="24"/>
          <w:szCs w:val="24"/>
        </w:rPr>
        <w:t xml:space="preserve">SP-D affects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 xml:space="preserve">directly by analyzing fungal gene expression before and after binding of purified recombinant </w:t>
      </w:r>
      <w:r>
        <w:rPr>
          <w:rFonts w:ascii="Calibri" w:eastAsia="Calibri" w:hAnsi="Calibri" w:cs="Calibri"/>
          <w:sz w:val="24"/>
          <w:szCs w:val="24"/>
        </w:rPr>
        <w:t xml:space="preserve">human </w:t>
      </w:r>
      <w:r w:rsidRPr="00B96CC3">
        <w:rPr>
          <w:rFonts w:ascii="Calibri" w:eastAsia="Calibri" w:hAnsi="Calibri" w:cs="Calibri"/>
          <w:sz w:val="24"/>
          <w:szCs w:val="24"/>
        </w:rPr>
        <w:t>SP-D</w:t>
      </w:r>
      <w:r>
        <w:rPr>
          <w:rFonts w:ascii="Calibri" w:eastAsia="Calibri" w:hAnsi="Calibri" w:cs="Calibri"/>
          <w:sz w:val="24"/>
          <w:szCs w:val="24"/>
        </w:rPr>
        <w:t xml:space="preserve"> (</w:t>
      </w:r>
      <w:proofErr w:type="spellStart"/>
      <w:r>
        <w:rPr>
          <w:rFonts w:ascii="Calibri" w:eastAsia="Calibri" w:hAnsi="Calibri" w:cs="Calibri"/>
          <w:sz w:val="24"/>
          <w:szCs w:val="24"/>
        </w:rPr>
        <w:t>rh</w:t>
      </w:r>
      <w:proofErr w:type="spellEnd"/>
      <w:r>
        <w:rPr>
          <w:rFonts w:ascii="Calibri" w:eastAsia="Calibri" w:hAnsi="Calibri" w:cs="Calibri"/>
          <w:sz w:val="24"/>
          <w:szCs w:val="24"/>
        </w:rPr>
        <w:t>-SP-D)</w:t>
      </w:r>
      <w:r w:rsidRPr="00B96CC3">
        <w:rPr>
          <w:rFonts w:ascii="Calibri" w:eastAsia="Calibri" w:hAnsi="Calibri" w:cs="Calibri"/>
          <w:sz w:val="24"/>
          <w:szCs w:val="24"/>
        </w:rPr>
        <w:t xml:space="preserve">. Direct binding of </w:t>
      </w:r>
      <w:proofErr w:type="spellStart"/>
      <w:r>
        <w:rPr>
          <w:rFonts w:ascii="Calibri" w:eastAsia="Calibri" w:hAnsi="Calibri" w:cs="Calibri"/>
          <w:sz w:val="24"/>
          <w:szCs w:val="24"/>
        </w:rPr>
        <w:t>rh</w:t>
      </w:r>
      <w:proofErr w:type="spellEnd"/>
      <w:r>
        <w:rPr>
          <w:rFonts w:ascii="Calibri" w:eastAsia="Calibri" w:hAnsi="Calibri" w:cs="Calibri"/>
          <w:sz w:val="24"/>
          <w:szCs w:val="24"/>
        </w:rPr>
        <w:t>-</w:t>
      </w:r>
      <w:r w:rsidRPr="00B96CC3">
        <w:rPr>
          <w:rFonts w:ascii="Calibri" w:eastAsia="Calibri" w:hAnsi="Calibri" w:cs="Calibri"/>
          <w:sz w:val="24"/>
          <w:szCs w:val="24"/>
        </w:rPr>
        <w:t xml:space="preserve">SP-D may modulate gene expression of surface receptors in a synergistic or antagonistic way and could therefore reciprocally modulate virulence factors, such as capsule production/cell wall rearrangements, thereby enhancing fungal survival. </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Method:</w:t>
      </w:r>
    </w:p>
    <w:p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I will</w:t>
      </w:r>
      <w:r w:rsidRPr="00B96CC3">
        <w:rPr>
          <w:rFonts w:ascii="Calibri" w:eastAsia="Calibri" w:hAnsi="Calibri" w:cs="Calibri"/>
          <w:sz w:val="24"/>
          <w:szCs w:val="24"/>
        </w:rPr>
        <w:t xml:space="preserve"> incubate </w:t>
      </w:r>
      <w:proofErr w:type="spellStart"/>
      <w:r>
        <w:rPr>
          <w:rFonts w:ascii="Calibri" w:eastAsia="Calibri" w:hAnsi="Calibri" w:cs="Calibri"/>
          <w:sz w:val="24"/>
          <w:szCs w:val="24"/>
        </w:rPr>
        <w:t>rh</w:t>
      </w:r>
      <w:proofErr w:type="spellEnd"/>
      <w:r>
        <w:rPr>
          <w:rFonts w:ascii="Calibri" w:eastAsia="Calibri" w:hAnsi="Calibri" w:cs="Calibri"/>
          <w:sz w:val="24"/>
          <w:szCs w:val="24"/>
        </w:rPr>
        <w:t xml:space="preserve">-SP-D (commercially available) </w:t>
      </w:r>
      <w:r w:rsidRPr="00B96CC3">
        <w:rPr>
          <w:rFonts w:ascii="Calibri" w:eastAsia="Calibri" w:hAnsi="Calibri" w:cs="Calibri"/>
          <w:sz w:val="24"/>
          <w:szCs w:val="24"/>
        </w:rPr>
        <w:t>with yeast cells in a microtiter plate at various concentrations. I will analyze the plates for agglutination of</w:t>
      </w:r>
      <w:r w:rsidRPr="00B96CC3">
        <w:rPr>
          <w:rFonts w:ascii="Calibri" w:eastAsia="Calibri" w:hAnsi="Calibri" w:cs="Calibri"/>
          <w:i/>
          <w:sz w:val="24"/>
          <w:szCs w:val="24"/>
        </w:rPr>
        <w:t xml:space="preserve"> Cryptococci</w:t>
      </w:r>
      <w:r w:rsidRPr="00B96CC3">
        <w:rPr>
          <w:rFonts w:ascii="Calibri" w:eastAsia="Calibri" w:hAnsi="Calibri" w:cs="Calibri"/>
          <w:sz w:val="24"/>
          <w:szCs w:val="24"/>
        </w:rPr>
        <w:t xml:space="preserve"> and extract RNA for further qualitative and quantitative analysis using </w:t>
      </w:r>
      <w:r w:rsidR="00BD3215">
        <w:rPr>
          <w:rFonts w:ascii="Calibri" w:eastAsia="Calibri" w:hAnsi="Calibri" w:cs="Calibri"/>
          <w:sz w:val="24"/>
          <w:szCs w:val="24"/>
        </w:rPr>
        <w:t>RT-</w:t>
      </w:r>
      <w:r w:rsidRPr="00B96CC3">
        <w:rPr>
          <w:rFonts w:ascii="Calibri" w:eastAsia="Calibri" w:hAnsi="Calibri" w:cs="Calibri"/>
          <w:sz w:val="24"/>
          <w:szCs w:val="24"/>
        </w:rPr>
        <w:t>qPCR and RNA-seq.</w:t>
      </w:r>
    </w:p>
    <w:p w:rsidR="00D63774" w:rsidRPr="00B96CC3" w:rsidRDefault="00D63774" w:rsidP="00D63774">
      <w:pPr>
        <w:pStyle w:val="BodyA"/>
        <w:rPr>
          <w:rFonts w:ascii="Calibri" w:eastAsia="Calibri" w:hAnsi="Calibri" w:cs="Calibri"/>
          <w:sz w:val="24"/>
          <w:szCs w:val="24"/>
        </w:rPr>
      </w:pPr>
    </w:p>
    <w:p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Functional profiling under differing stimuli may</w:t>
      </w:r>
      <w:r w:rsidRPr="00B96CC3">
        <w:rPr>
          <w:rFonts w:ascii="Calibri" w:eastAsia="Calibri" w:hAnsi="Calibri" w:cs="Calibri"/>
          <w:sz w:val="24"/>
          <w:szCs w:val="24"/>
        </w:rPr>
        <w:t xml:space="preserve"> identify enriched pathways during the early phase of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adaptat</w:t>
      </w:r>
      <w:r>
        <w:rPr>
          <w:rFonts w:ascii="Calibri" w:eastAsia="Calibri" w:hAnsi="Calibri" w:cs="Calibri"/>
          <w:sz w:val="24"/>
          <w:szCs w:val="24"/>
        </w:rPr>
        <w:t>ion to the host lung</w:t>
      </w:r>
      <w:r w:rsidRPr="00B96CC3">
        <w:rPr>
          <w:rFonts w:ascii="Calibri" w:eastAsia="Calibri" w:hAnsi="Calibri" w:cs="Calibri"/>
          <w:sz w:val="24"/>
          <w:szCs w:val="24"/>
        </w:rPr>
        <w:t xml:space="preserve">. </w:t>
      </w:r>
      <w:r>
        <w:rPr>
          <w:rFonts w:ascii="Calibri" w:eastAsia="Calibri" w:hAnsi="Calibri" w:cs="Calibri"/>
          <w:sz w:val="24"/>
          <w:szCs w:val="24"/>
        </w:rPr>
        <w:t>Analyzing</w:t>
      </w:r>
      <w:r w:rsidRPr="00B96CC3">
        <w:rPr>
          <w:rFonts w:ascii="Calibri" w:eastAsia="Calibri" w:hAnsi="Calibri" w:cs="Calibri"/>
          <w:sz w:val="24"/>
          <w:szCs w:val="24"/>
        </w:rPr>
        <w:t xml:space="preserve"> the transcriptome of </w:t>
      </w:r>
      <w:r w:rsidRPr="00B96CC3">
        <w:rPr>
          <w:rFonts w:ascii="Calibri" w:eastAsia="Calibri" w:hAnsi="Calibri" w:cs="Calibri"/>
          <w:i/>
          <w:sz w:val="24"/>
          <w:szCs w:val="24"/>
        </w:rPr>
        <w:t>C. neoformans</w:t>
      </w:r>
      <w:r w:rsidRPr="00B96CC3">
        <w:rPr>
          <w:rFonts w:ascii="Calibri" w:eastAsia="Calibri" w:hAnsi="Calibri" w:cs="Calibri"/>
          <w:sz w:val="24"/>
          <w:szCs w:val="24"/>
        </w:rPr>
        <w:t xml:space="preserve"> over a time-course under these selective environm</w:t>
      </w:r>
      <w:r>
        <w:rPr>
          <w:rFonts w:ascii="Calibri" w:eastAsia="Calibri" w:hAnsi="Calibri" w:cs="Calibri"/>
          <w:sz w:val="24"/>
          <w:szCs w:val="24"/>
        </w:rPr>
        <w:t>ental pressures may lead to</w:t>
      </w:r>
      <w:r w:rsidRPr="00B96CC3">
        <w:rPr>
          <w:rFonts w:ascii="Calibri" w:eastAsia="Calibri" w:hAnsi="Calibri" w:cs="Calibri"/>
          <w:sz w:val="24"/>
          <w:szCs w:val="24"/>
        </w:rPr>
        <w:t xml:space="preserve"> micro-evolutionary adaptation of </w:t>
      </w:r>
      <w:r w:rsidRPr="00B96CC3">
        <w:rPr>
          <w:rFonts w:ascii="Calibri" w:eastAsia="Calibri" w:hAnsi="Calibri" w:cs="Calibri"/>
          <w:i/>
          <w:sz w:val="24"/>
          <w:szCs w:val="24"/>
        </w:rPr>
        <w:t xml:space="preserve">C. neoformans </w:t>
      </w:r>
      <w:r w:rsidRPr="00B96CC3">
        <w:rPr>
          <w:rFonts w:ascii="Calibri" w:eastAsia="Calibri" w:hAnsi="Calibri" w:cs="Calibri"/>
          <w:sz w:val="24"/>
          <w:szCs w:val="24"/>
        </w:rPr>
        <w:t>in the host lung</w:t>
      </w:r>
      <w:r>
        <w:rPr>
          <w:rFonts w:ascii="Calibri" w:eastAsia="Calibri" w:hAnsi="Calibri" w:cs="Calibri"/>
          <w:sz w:val="24"/>
          <w:szCs w:val="24"/>
        </w:rPr>
        <w:t xml:space="preserve"> and</w:t>
      </w:r>
      <w:r w:rsidRPr="00CE747F">
        <w:t xml:space="preserve"> </w:t>
      </w:r>
      <w:r w:rsidRPr="00CE747F">
        <w:rPr>
          <w:rFonts w:ascii="Calibri" w:eastAsia="Calibri" w:hAnsi="Calibri" w:cs="Calibri"/>
          <w:sz w:val="24"/>
          <w:szCs w:val="24"/>
        </w:rPr>
        <w:t>pave the way for possible new drug targets aimed at de-regulating virulence instead of directly killing the fungus.</w:t>
      </w:r>
      <w:r w:rsidRPr="00B96CC3">
        <w:rPr>
          <w:rFonts w:ascii="Calibri" w:eastAsia="Calibri" w:hAnsi="Calibri" w:cs="Calibri"/>
          <w:sz w:val="24"/>
          <w:szCs w:val="24"/>
        </w:rPr>
        <w:t xml:space="preserve"> </w:t>
      </w:r>
    </w:p>
    <w:p w:rsidR="00D63774" w:rsidRPr="00B96CC3" w:rsidRDefault="00D63774" w:rsidP="00D63774">
      <w:pPr>
        <w:pStyle w:val="BodyA"/>
        <w:rPr>
          <w:rFonts w:ascii="Calibri" w:eastAsia="Calibri" w:hAnsi="Calibri" w:cs="Calibri"/>
          <w:sz w:val="24"/>
          <w:szCs w:val="24"/>
        </w:rPr>
      </w:pP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b/>
          <w:sz w:val="24"/>
          <w:szCs w:val="24"/>
          <w:u w:val="single"/>
        </w:rPr>
        <w:t>Challenges</w:t>
      </w:r>
      <w:r w:rsidRPr="00B96CC3">
        <w:rPr>
          <w:rFonts w:ascii="Calibri" w:eastAsia="Calibri" w:hAnsi="Calibri" w:cs="Calibri"/>
          <w:b/>
          <w:sz w:val="24"/>
          <w:szCs w:val="24"/>
        </w:rPr>
        <w:t>:</w:t>
      </w:r>
    </w:p>
    <w:p w:rsidR="00D63774" w:rsidRPr="00B96CC3" w:rsidRDefault="00D63774" w:rsidP="00D63774">
      <w:pPr>
        <w:pStyle w:val="BodyA"/>
        <w:rPr>
          <w:rFonts w:ascii="Calibri" w:eastAsia="Calibri" w:hAnsi="Calibri" w:cs="Calibri"/>
          <w:sz w:val="24"/>
          <w:szCs w:val="24"/>
        </w:rPr>
      </w:pPr>
      <w:r w:rsidRPr="00B96CC3">
        <w:rPr>
          <w:rFonts w:ascii="Calibri" w:eastAsia="Calibri" w:hAnsi="Calibri" w:cs="Calibri"/>
          <w:sz w:val="24"/>
          <w:szCs w:val="24"/>
        </w:rPr>
        <w:t>Going from yeast cul</w:t>
      </w:r>
      <w:r>
        <w:rPr>
          <w:rFonts w:ascii="Calibri" w:eastAsia="Calibri" w:hAnsi="Calibri" w:cs="Calibri"/>
          <w:sz w:val="24"/>
          <w:szCs w:val="24"/>
        </w:rPr>
        <w:t>tures to identification of gene expression</w:t>
      </w:r>
      <w:r w:rsidRPr="00B96CC3">
        <w:rPr>
          <w:rFonts w:ascii="Calibri" w:eastAsia="Calibri" w:hAnsi="Calibri" w:cs="Calibri"/>
          <w:sz w:val="24"/>
          <w:szCs w:val="24"/>
        </w:rPr>
        <w:t xml:space="preserve"> involves a multi-step approach including harvesting cells, RNA isolation, </w:t>
      </w:r>
      <w:proofErr w:type="gramStart"/>
      <w:r w:rsidRPr="00B96CC3">
        <w:rPr>
          <w:rFonts w:ascii="Calibri" w:eastAsia="Calibri" w:hAnsi="Calibri" w:cs="Calibri"/>
          <w:sz w:val="24"/>
          <w:szCs w:val="24"/>
        </w:rPr>
        <w:t>removal</w:t>
      </w:r>
      <w:proofErr w:type="gramEnd"/>
      <w:r w:rsidRPr="00B96CC3">
        <w:rPr>
          <w:rFonts w:ascii="Calibri" w:eastAsia="Calibri" w:hAnsi="Calibri" w:cs="Calibri"/>
          <w:sz w:val="24"/>
          <w:szCs w:val="24"/>
        </w:rPr>
        <w:t xml:space="preserve"> of genomic DNA, cDNA synthesis and </w:t>
      </w:r>
      <w:r w:rsidR="00BD3215">
        <w:rPr>
          <w:rFonts w:ascii="Calibri" w:eastAsia="Calibri" w:hAnsi="Calibri" w:cs="Calibri"/>
          <w:sz w:val="24"/>
          <w:szCs w:val="24"/>
        </w:rPr>
        <w:t>RT-</w:t>
      </w:r>
      <w:r w:rsidRPr="00B96CC3">
        <w:rPr>
          <w:rFonts w:ascii="Calibri" w:eastAsia="Calibri" w:hAnsi="Calibri" w:cs="Calibri"/>
          <w:sz w:val="24"/>
          <w:szCs w:val="24"/>
        </w:rPr>
        <w:t>qPCR/RNA-seq. This multi-step approach can introduce inter- and intra-</w:t>
      </w:r>
      <w:r>
        <w:rPr>
          <w:rFonts w:ascii="Calibri" w:eastAsia="Calibri" w:hAnsi="Calibri" w:cs="Calibri"/>
          <w:sz w:val="24"/>
          <w:szCs w:val="24"/>
        </w:rPr>
        <w:t xml:space="preserve">sample </w:t>
      </w:r>
      <w:r w:rsidRPr="00B96CC3">
        <w:rPr>
          <w:rFonts w:ascii="Calibri" w:eastAsia="Calibri" w:hAnsi="Calibri" w:cs="Calibri"/>
          <w:sz w:val="24"/>
          <w:szCs w:val="24"/>
        </w:rPr>
        <w:t>variation which must be normalized in order to make sense of the data produced.</w:t>
      </w:r>
    </w:p>
    <w:p w:rsidR="00D63774" w:rsidRDefault="00D63774" w:rsidP="00D63774">
      <w:pPr>
        <w:pStyle w:val="BodyA"/>
        <w:rPr>
          <w:rFonts w:ascii="Calibri" w:eastAsia="Calibri" w:hAnsi="Calibri" w:cs="Calibri"/>
          <w:sz w:val="24"/>
          <w:szCs w:val="24"/>
        </w:rPr>
      </w:pPr>
      <w:r>
        <w:rPr>
          <w:rFonts w:ascii="Calibri" w:eastAsia="Calibri" w:hAnsi="Calibri" w:cs="Calibri"/>
          <w:sz w:val="24"/>
          <w:szCs w:val="24"/>
        </w:rPr>
        <w:t xml:space="preserve">Normalization is very important when comparing data from different experimental conditions in a quantitative and qualitative manner. The </w:t>
      </w:r>
      <w:r w:rsidRPr="00B96CC3">
        <w:rPr>
          <w:rFonts w:ascii="Calibri" w:eastAsia="Calibri" w:hAnsi="Calibri" w:cs="Calibri"/>
          <w:sz w:val="24"/>
          <w:szCs w:val="24"/>
        </w:rPr>
        <w:t xml:space="preserve">amount of mRNA produced may vary considerably. I will </w:t>
      </w:r>
      <w:r w:rsidRPr="00B96CC3">
        <w:rPr>
          <w:rFonts w:ascii="Calibri" w:eastAsia="Calibri" w:hAnsi="Calibri" w:cs="Calibri"/>
          <w:sz w:val="24"/>
          <w:szCs w:val="24"/>
        </w:rPr>
        <w:lastRenderedPageBreak/>
        <w:t xml:space="preserve">normalize RNA levels by spiking in a 1:100 ratio of methanol-fixed </w:t>
      </w:r>
      <w:r w:rsidRPr="00B96CC3">
        <w:rPr>
          <w:rFonts w:ascii="Calibri" w:eastAsia="Calibri" w:hAnsi="Calibri" w:cs="Calibri"/>
          <w:i/>
          <w:sz w:val="24"/>
          <w:szCs w:val="24"/>
        </w:rPr>
        <w:t xml:space="preserve">Schizosaccaromyces </w:t>
      </w:r>
      <w:proofErr w:type="spellStart"/>
      <w:r w:rsidRPr="00B96CC3">
        <w:rPr>
          <w:rFonts w:ascii="Calibri" w:eastAsia="Calibri" w:hAnsi="Calibri" w:cs="Calibri"/>
          <w:i/>
          <w:sz w:val="24"/>
          <w:szCs w:val="24"/>
        </w:rPr>
        <w:t>pombe</w:t>
      </w:r>
      <w:proofErr w:type="spellEnd"/>
      <w:r w:rsidRPr="00B96CC3">
        <w:rPr>
          <w:rFonts w:ascii="Calibri" w:eastAsia="Calibri" w:hAnsi="Calibri" w:cs="Calibri"/>
          <w:sz w:val="24"/>
          <w:szCs w:val="24"/>
        </w:rPr>
        <w:t xml:space="preserve">. </w:t>
      </w:r>
      <w:r>
        <w:rPr>
          <w:rFonts w:ascii="Calibri" w:eastAsia="Calibri" w:hAnsi="Calibri" w:cs="Calibri"/>
          <w:sz w:val="24"/>
          <w:szCs w:val="24"/>
        </w:rPr>
        <w:t xml:space="preserve">I will normalize using three </w:t>
      </w:r>
      <w:r w:rsidRPr="00A67CCC">
        <w:rPr>
          <w:rFonts w:ascii="Calibri" w:eastAsia="Calibri" w:hAnsi="Calibri" w:cs="Calibri"/>
          <w:sz w:val="24"/>
          <w:szCs w:val="24"/>
        </w:rPr>
        <w:t xml:space="preserve">reference </w:t>
      </w:r>
      <w:r w:rsidRPr="00A67CCC">
        <w:rPr>
          <w:rFonts w:ascii="Calibri" w:eastAsia="Calibri" w:hAnsi="Calibri" w:cs="Calibri"/>
          <w:i/>
          <w:sz w:val="24"/>
          <w:szCs w:val="24"/>
        </w:rPr>
        <w:t>S.pombe</w:t>
      </w:r>
      <w:bookmarkStart w:id="0" w:name="_GoBack"/>
      <w:bookmarkEnd w:id="0"/>
      <w:r w:rsidRPr="00A67CCC">
        <w:rPr>
          <w:rFonts w:ascii="Calibri" w:eastAsia="Calibri" w:hAnsi="Calibri" w:cs="Calibri"/>
          <w:sz w:val="24"/>
          <w:szCs w:val="24"/>
        </w:rPr>
        <w:t xml:space="preserve"> genes</w:t>
      </w:r>
      <w:r>
        <w:rPr>
          <w:rFonts w:ascii="Calibri" w:eastAsia="Calibri" w:hAnsi="Calibri" w:cs="Calibri"/>
          <w:sz w:val="24"/>
          <w:szCs w:val="24"/>
        </w:rPr>
        <w:t>.</w:t>
      </w:r>
      <w:r w:rsidRPr="00A67CCC">
        <w:rPr>
          <w:rFonts w:ascii="Calibri" w:eastAsia="Calibri" w:hAnsi="Calibri" w:cs="Calibri"/>
          <w:sz w:val="24"/>
          <w:szCs w:val="24"/>
        </w:rPr>
        <w:t xml:space="preserve"> </w:t>
      </w:r>
      <w:r w:rsidRPr="00B96CC3">
        <w:rPr>
          <w:rFonts w:ascii="Calibri" w:eastAsia="Calibri" w:hAnsi="Calibri" w:cs="Calibri"/>
          <w:sz w:val="24"/>
          <w:szCs w:val="24"/>
        </w:rPr>
        <w:t xml:space="preserve">The reverse transcription step of cDNA synthesis has been proposed as the source of the most variability in </w:t>
      </w:r>
      <w:r w:rsidR="00BD3215">
        <w:rPr>
          <w:rFonts w:ascii="Calibri" w:eastAsia="Calibri" w:hAnsi="Calibri" w:cs="Calibri"/>
          <w:sz w:val="24"/>
          <w:szCs w:val="24"/>
        </w:rPr>
        <w:t>RT-</w:t>
      </w:r>
      <w:r w:rsidRPr="00B96CC3">
        <w:rPr>
          <w:rFonts w:ascii="Calibri" w:eastAsia="Calibri" w:hAnsi="Calibri" w:cs="Calibri"/>
          <w:sz w:val="24"/>
          <w:szCs w:val="24"/>
        </w:rPr>
        <w:t>qPCR experiments. I will use an external RNA control to normalize for external global mRNA changes by spiking extracted RNA samples with equal amounts of control RNA prior to cDNA synthesis. This will allow me to control for the presence of inhibitors of RT and DNA polymerase.</w:t>
      </w:r>
      <w:r>
        <w:rPr>
          <w:rFonts w:ascii="Calibri" w:eastAsia="Calibri" w:hAnsi="Calibri" w:cs="Calibri"/>
          <w:sz w:val="24"/>
          <w:szCs w:val="24"/>
        </w:rPr>
        <w:t xml:space="preserve"> Analysis of </w:t>
      </w:r>
      <w:r w:rsidR="00BD3215">
        <w:rPr>
          <w:rFonts w:ascii="Calibri" w:eastAsia="Calibri" w:hAnsi="Calibri" w:cs="Calibri"/>
          <w:sz w:val="24"/>
          <w:szCs w:val="24"/>
        </w:rPr>
        <w:t>RT-</w:t>
      </w:r>
      <w:r>
        <w:rPr>
          <w:rFonts w:ascii="Calibri" w:eastAsia="Calibri" w:hAnsi="Calibri" w:cs="Calibri"/>
          <w:sz w:val="24"/>
          <w:szCs w:val="24"/>
        </w:rPr>
        <w:t xml:space="preserve">qPCR </w:t>
      </w:r>
      <w:r w:rsidRPr="00B96CC3">
        <w:rPr>
          <w:rFonts w:ascii="Calibri" w:eastAsia="Calibri" w:hAnsi="Calibri" w:cs="Calibri"/>
          <w:sz w:val="24"/>
          <w:szCs w:val="24"/>
        </w:rPr>
        <w:t xml:space="preserve">data can result in misrepresentation of the expression profiles obtained </w:t>
      </w:r>
      <w:r w:rsidRPr="00B96CC3">
        <w:rPr>
          <w:rStyle w:val="FootnoteReference"/>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10.1186/gb-2002-3-7-research0034","ISBN":"1465-6906","ISSN":"1465-6914","PMID":"12184808","author":[{"dropping-particle":"","family":"Vandesomlele","given":"Jo","non-dropping-particle":"","parse-names":false,"suffix":""}],"id":"ITEM-1","issued":{"date-parts":[["2002"]]},"page":"1-12","title":"Accurate normalization of real-time quantitative RT-PCR data.pdf","type":"article-journal"},"uris":["http://www.mendeley.com/documents/?uuid=ff49066e-2874-4195-8573-1ab08fd3f7dd"]}],"mendeley":{"formattedCitation":"&lt;sup&gt;21&lt;/sup&gt;","plainTextFormattedCitation":"21","previouslyFormattedCitation":"&lt;sup&gt;20&lt;/sup&gt;"},"properties":{"noteIndex":0},"schema":"https://github.com/citation-style-language/schema/raw/master/csl-citation.json"}</w:instrText>
      </w:r>
      <w:r w:rsidRPr="00B96CC3">
        <w:rPr>
          <w:rStyle w:val="FootnoteReference"/>
          <w:rFonts w:ascii="Calibri" w:eastAsia="Calibri" w:hAnsi="Calibri" w:cs="Calibri"/>
          <w:sz w:val="24"/>
          <w:szCs w:val="24"/>
        </w:rPr>
        <w:fldChar w:fldCharType="separate"/>
      </w:r>
      <w:r w:rsidR="00FA241A" w:rsidRPr="00FA241A">
        <w:rPr>
          <w:rFonts w:ascii="Calibri" w:eastAsia="Calibri" w:hAnsi="Calibri" w:cs="Calibri"/>
          <w:bCs/>
          <w:noProof/>
          <w:sz w:val="24"/>
          <w:szCs w:val="24"/>
          <w:vertAlign w:val="superscript"/>
        </w:rPr>
        <w:t>21</w:t>
      </w:r>
      <w:r w:rsidRPr="00B96CC3">
        <w:rPr>
          <w:rStyle w:val="FootnoteReference"/>
          <w:rFonts w:ascii="Calibri" w:eastAsia="Calibri" w:hAnsi="Calibri" w:cs="Calibri"/>
          <w:sz w:val="24"/>
          <w:szCs w:val="24"/>
        </w:rPr>
        <w:fldChar w:fldCharType="end"/>
      </w:r>
      <w:r w:rsidRPr="00B96CC3">
        <w:rPr>
          <w:rFonts w:ascii="Calibri" w:eastAsia="Calibri" w:hAnsi="Calibri" w:cs="Calibri"/>
          <w:sz w:val="24"/>
          <w:szCs w:val="24"/>
        </w:rPr>
        <w:t xml:space="preserve"> </w:t>
      </w:r>
      <w:r>
        <w:rPr>
          <w:rFonts w:ascii="Calibri" w:eastAsia="Calibri" w:hAnsi="Calibri" w:cs="Calibri"/>
          <w:sz w:val="24"/>
          <w:szCs w:val="24"/>
        </w:rPr>
        <w:t>I will overcome this by</w:t>
      </w:r>
      <w:r w:rsidRPr="00B96CC3">
        <w:rPr>
          <w:rFonts w:ascii="Calibri" w:eastAsia="Calibri" w:hAnsi="Calibri" w:cs="Calibri"/>
          <w:sz w:val="24"/>
          <w:szCs w:val="24"/>
        </w:rPr>
        <w:t xml:space="preserve"> selecting </w:t>
      </w:r>
      <w:r>
        <w:rPr>
          <w:rFonts w:ascii="Calibri" w:eastAsia="Calibri" w:hAnsi="Calibri" w:cs="Calibri"/>
          <w:sz w:val="24"/>
          <w:szCs w:val="24"/>
        </w:rPr>
        <w:t xml:space="preserve">3-4 stable expressed </w:t>
      </w:r>
      <w:r w:rsidRPr="00B96CC3">
        <w:rPr>
          <w:rFonts w:ascii="Calibri" w:eastAsia="Calibri" w:hAnsi="Calibri" w:cs="Calibri"/>
          <w:sz w:val="24"/>
          <w:szCs w:val="24"/>
        </w:rPr>
        <w:t xml:space="preserve">reference controls and the geometric mean of these will be taken. These will allow me to normalize differences in the amount and quality of starting material as well as in the efficiency of the reaction. It is common to use ubiquitously expressed genes. </w:t>
      </w:r>
      <w:r w:rsidR="00BD3215">
        <w:rPr>
          <w:rFonts w:ascii="Calibri" w:eastAsia="Calibri" w:hAnsi="Calibri" w:cs="Calibri"/>
          <w:sz w:val="24"/>
          <w:szCs w:val="24"/>
        </w:rPr>
        <w:t>RT-</w:t>
      </w:r>
      <w:r>
        <w:rPr>
          <w:rFonts w:ascii="Calibri" w:eastAsia="Calibri" w:hAnsi="Calibri" w:cs="Calibri"/>
          <w:sz w:val="24"/>
          <w:szCs w:val="24"/>
        </w:rPr>
        <w:t>qPCR will be carried out under MIQE guidelines</w:t>
      </w:r>
      <w:r>
        <w:rPr>
          <w:rFonts w:ascii="Calibri" w:eastAsia="Calibri" w:hAnsi="Calibri" w:cs="Calibri"/>
          <w:sz w:val="24"/>
          <w:szCs w:val="24"/>
        </w:rPr>
        <w:fldChar w:fldCharType="begin" w:fldLock="1"/>
      </w:r>
      <w:r w:rsidR="00FA241A">
        <w:rPr>
          <w:rFonts w:ascii="Calibri" w:eastAsia="Calibri" w:hAnsi="Calibri" w:cs="Calibri"/>
          <w:sz w:val="24"/>
          <w:szCs w:val="24"/>
        </w:rPr>
        <w:instrText>ADDIN CSL_CITATION {"citationItems":[{"id":"ITEM-1","itemData":{"DOI":"10.1373/clinchem.2008.112797","ISSN":"1530-8561","PMID":"19246619","abstract":"BACKGROUND Currently, a lack of consensus exists on how best to perform and interpret quantitative real-time PCR (qPCR) experiments. The problem is exacerbated by a lack of sufficient experimental detail in many publications, which impedes a reader's ability to evaluate critically the quality of the results presented or to repeat the experiments. CONTENT The Minimum Information for Publication of Quantitative Real-Time PCR Experiments (MIQE) guidelines target the reliability of results to help ensure the integrity of the scientific literature, promote consistency between laboratories, and increase experimental transparency. MIQE is a set of guidelines that describe the minimum information necessary for evaluating qPCR experiments. Included is a checklist to accompany the initial submission of a manuscript to the publisher. By providing all relevant experimental conditions and assay characteristics, reviewers can assess the validity of the protocols used. Full disclosure of all reagents, sequences, and analysis methods is necessary to enable other investigators to reproduce results. MIQE details should be published either in abbreviated form or as an online supplement. SUMMARY Following these guidelines will encourage better experimental practice, allowing more reliable and unequivocal interpretation of qPCR results.","author":[{"dropping-particle":"","family":"Bustin","given":"Stephen A","non-dropping-particle":"","parse-names":false,"suffix":""},{"dropping-particle":"","family":"Benes","given":"Vladimir","non-dropping-particle":"","parse-names":false,"suffix":""},{"dropping-particle":"","family":"Garson","given":"Jeremy A","non-dropping-particle":"","parse-names":false,"suffix":""},{"dropping-particle":"","family":"Hellemans","given":"Jan","non-dropping-particle":"","parse-names":false,"suffix":""},{"dropping-particle":"","family":"Huggett","given":"Jim","non-dropping-particle":"","parse-names":false,"suffix":""},{"dropping-particle":"","family":"Kubista","given":"Mikael","non-dropping-particle":"","parse-names":false,"suffix":""},{"dropping-particle":"","family":"Mueller","given":"Reinhold","non-dropping-particle":"","parse-names":false,"suffix":""},{"dropping-particle":"","family":"Nolan","given":"Tania","non-dropping-particle":"","parse-names":false,"suffix":""},{"dropping-particle":"","family":"Pfaffl","given":"Michael W","non-dropping-particle":"","parse-names":false,"suffix":""},{"dropping-particle":"","family":"Shipley","given":"Gregory L","non-dropping-particle":"","parse-names":false,"suffix":""},{"dropping-particle":"","family":"Vandesompele","given":"Jo","non-dropping-particle":"","parse-names":false,"suffix":""},{"dropping-particle":"","family":"Wittwer","given":"Carl T","non-dropping-particle":"","parse-names":false,"suffix":""}],"container-title":"Clinical chemistry","id":"ITEM-1","issue":"4","issued":{"date-parts":[["2009","4","1"]]},"page":"611-22","publisher":"Clinical Chemistry","title":"The MIQE guidelines: minimum information for publication of quantitative real-time PCR experiments.","type":"article-journal","volume":"55"},"uris":["http://www.mendeley.com/documents/?uuid=f6c5428b-fc18-3bc9-8d73-ef3255449537"]}],"mendeley":{"formattedCitation":"&lt;sup&gt;22&lt;/sup&gt;","plainTextFormattedCitation":"22","previouslyFormattedCitation":"&lt;sup&gt;21&lt;/sup&gt;"},"properties":{"noteIndex":0},"schema":"https://github.com/citation-style-language/schema/raw/master/csl-citation.json"}</w:instrText>
      </w:r>
      <w:r>
        <w:rPr>
          <w:rFonts w:ascii="Calibri" w:eastAsia="Calibri" w:hAnsi="Calibri" w:cs="Calibri"/>
          <w:sz w:val="24"/>
          <w:szCs w:val="24"/>
        </w:rPr>
        <w:fldChar w:fldCharType="separate"/>
      </w:r>
      <w:r w:rsidR="00FA241A" w:rsidRPr="00FA241A">
        <w:rPr>
          <w:rFonts w:ascii="Calibri" w:eastAsia="Calibri" w:hAnsi="Calibri" w:cs="Calibri"/>
          <w:noProof/>
          <w:sz w:val="24"/>
          <w:szCs w:val="24"/>
          <w:vertAlign w:val="superscript"/>
        </w:rPr>
        <w:t>22</w:t>
      </w:r>
      <w:r>
        <w:rPr>
          <w:rFonts w:ascii="Calibri" w:eastAsia="Calibri" w:hAnsi="Calibri" w:cs="Calibri"/>
          <w:sz w:val="24"/>
          <w:szCs w:val="24"/>
        </w:rPr>
        <w:fldChar w:fldCharType="end"/>
      </w:r>
      <w:r>
        <w:rPr>
          <w:rFonts w:ascii="Calibri" w:eastAsia="Calibri" w:hAnsi="Calibri" w:cs="Calibri"/>
          <w:sz w:val="24"/>
          <w:szCs w:val="24"/>
        </w:rPr>
        <w:t>.</w:t>
      </w:r>
    </w:p>
    <w:p w:rsidR="00D63774" w:rsidRPr="00B96CC3" w:rsidRDefault="00D63774" w:rsidP="00D63774">
      <w:pPr>
        <w:pStyle w:val="BodyA"/>
        <w:rPr>
          <w:rStyle w:val="inline-l2-heading"/>
          <w:rFonts w:ascii="Calibri" w:hAnsi="Calibri" w:cs="Calibri"/>
          <w:bCs/>
          <w:sz w:val="24"/>
          <w:szCs w:val="24"/>
          <w:bdr w:val="none" w:sz="0" w:space="0" w:color="auto" w:frame="1"/>
          <w:shd w:val="clear" w:color="auto" w:fill="FFFFFF"/>
        </w:rPr>
      </w:pPr>
      <w:r w:rsidRPr="00B96CC3">
        <w:rPr>
          <w:rStyle w:val="inline-l2-heading"/>
          <w:rFonts w:ascii="Calibri" w:hAnsi="Calibri" w:cs="Calibri"/>
          <w:bCs/>
          <w:sz w:val="24"/>
          <w:szCs w:val="24"/>
          <w:bdr w:val="none" w:sz="0" w:space="0" w:color="auto" w:frame="1"/>
          <w:shd w:val="clear" w:color="auto" w:fill="FFFFFF"/>
        </w:rPr>
        <w:t>Manipulation during the construction of the cDNA librari</w:t>
      </w:r>
      <w:r>
        <w:rPr>
          <w:rStyle w:val="inline-l2-heading"/>
          <w:rFonts w:ascii="Calibri" w:hAnsi="Calibri" w:cs="Calibri"/>
          <w:bCs/>
          <w:sz w:val="24"/>
          <w:szCs w:val="24"/>
          <w:bdr w:val="none" w:sz="0" w:space="0" w:color="auto" w:frame="1"/>
          <w:shd w:val="clear" w:color="auto" w:fill="FFFFFF"/>
        </w:rPr>
        <w:t>es</w:t>
      </w:r>
      <w:r w:rsidRPr="00B96CC3">
        <w:rPr>
          <w:rStyle w:val="inline-l2-heading"/>
          <w:rFonts w:ascii="Calibri" w:hAnsi="Calibri" w:cs="Calibri"/>
          <w:bCs/>
          <w:sz w:val="24"/>
          <w:szCs w:val="24"/>
          <w:bdr w:val="none" w:sz="0" w:space="0" w:color="auto" w:frame="1"/>
          <w:shd w:val="clear" w:color="auto" w:fill="FFFFFF"/>
        </w:rPr>
        <w:t xml:space="preserve"> can complicate the analysis of RNA-seq reads where PCR artefacts of short identical reads can be confused for genuine reflection of the RNA present. In order to overcome this limitation I will run 2 or 3 biological replicates and determine whether the same sequences are observed in each sample.</w:t>
      </w:r>
    </w:p>
    <w:p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r w:rsidRPr="00B96CC3">
        <w:rPr>
          <w:rStyle w:val="inline-l2-heading"/>
          <w:rFonts w:ascii="Calibri" w:hAnsi="Calibri" w:cs="Calibri"/>
          <w:bCs/>
          <w:sz w:val="24"/>
          <w:szCs w:val="24"/>
          <w:bdr w:val="none" w:sz="0" w:space="0" w:color="auto" w:frame="1"/>
          <w:shd w:val="clear" w:color="auto" w:fill="FFFFFF"/>
        </w:rPr>
        <w:t>Normalization is an important prerequisite for any quantitative data analysis of gene expression. Different normalization approaches can have significant effects on the distribution and calculation of significant values (</w:t>
      </w:r>
      <w:r w:rsidRPr="00B96CC3">
        <w:rPr>
          <w:rStyle w:val="inline-l2-heading"/>
          <w:rFonts w:ascii="Calibri" w:hAnsi="Calibri" w:cs="Calibri"/>
          <w:bCs/>
          <w:i/>
          <w:sz w:val="24"/>
          <w:szCs w:val="24"/>
          <w:bdr w:val="none" w:sz="0" w:space="0" w:color="auto" w:frame="1"/>
          <w:shd w:val="clear" w:color="auto" w:fill="FFFFFF"/>
        </w:rPr>
        <w:t>P</w:t>
      </w:r>
      <w:r w:rsidRPr="00B96CC3">
        <w:rPr>
          <w:rStyle w:val="inline-l2-heading"/>
          <w:rFonts w:ascii="Calibri" w:hAnsi="Calibri" w:cs="Calibri"/>
          <w:bCs/>
          <w:sz w:val="24"/>
          <w:szCs w:val="24"/>
          <w:bdr w:val="none" w:sz="0" w:space="0" w:color="auto" w:frame="1"/>
          <w:shd w:val="clear" w:color="auto" w:fill="FFFFFF"/>
        </w:rPr>
        <w:t>-values</w:t>
      </w:r>
      <w:r>
        <w:rPr>
          <w:rStyle w:val="inline-l2-heading"/>
          <w:rFonts w:ascii="Calibri" w:hAnsi="Calibri" w:cs="Calibri"/>
          <w:bCs/>
          <w:sz w:val="24"/>
          <w:szCs w:val="24"/>
          <w:bdr w:val="none" w:sz="0" w:space="0" w:color="auto" w:frame="1"/>
          <w:shd w:val="clear" w:color="auto" w:fill="FFFFFF"/>
        </w:rPr>
        <w:t>)</w:t>
      </w:r>
      <w:r w:rsidRPr="00B96CC3">
        <w:rPr>
          <w:rStyle w:val="FootnoteReference"/>
          <w:rFonts w:ascii="Calibri" w:hAnsi="Calibri" w:cs="Calibri"/>
          <w:bCs/>
          <w:sz w:val="24"/>
          <w:szCs w:val="24"/>
          <w:bdr w:val="none" w:sz="0" w:space="0" w:color="auto" w:frame="1"/>
          <w:shd w:val="clear" w:color="auto" w:fill="FFFFFF"/>
        </w:rPr>
        <w:fldChar w:fldCharType="begin" w:fldLock="1"/>
      </w:r>
      <w:r w:rsidR="00FA241A">
        <w:rPr>
          <w:rFonts w:ascii="Calibri" w:hAnsi="Calibri" w:cs="Calibri"/>
          <w:bCs/>
          <w:sz w:val="24"/>
          <w:szCs w:val="24"/>
          <w:bdr w:val="none" w:sz="0" w:space="0" w:color="auto" w:frame="1"/>
          <w:shd w:val="clear" w:color="auto" w:fill="FFFFFF"/>
        </w:rPr>
        <w:instrText>ADDIN CSL_CITATION {"citationItems":[{"id":"ITEM-1","itemData":{"DOI":"10.1016/j.joca.2007.12.007","author":[{"dropping-particle":"","family":"Aigner","given":"T M D","non-dropping-particle":"","parse-names":false,"suffix":""},{"dropping-particle":"","family":"Sc","given":"D","non-dropping-particle":"","parse-names":false,"suffix":""}],"id":"ITEM-1","issued":{"date-parts":[["2008"]]},"title":"Normalization strategies for mRNA expression data in cartilage research","type":"article-journal"},"uris":["http://www.mendeley.com/documents/?uuid=96d46ae6-b49b-4ba2-ae9c-6f4ba94f89db"]},{"id":"ITEM-2","itemData":{"DOI":"10.1371/journal.pone.0089158","author":[{"dropping-particle":"","family":"Winata","given":"Cecilia","non-dropping-particle":"","parse-names":false,"suffix":""},{"dropping-particle":"","family":"Moen","given":"Lars F","non-dropping-particle":"","parse-names":false,"suffix":""},{"dropping-particle":"","family":"Østrup","given":"Olga","non-dropping-particle":"","parse-names":false,"suffix":""},{"dropping-particle":"","family":"Mathavan","given":"Sinnakaruppan","non-dropping-particle":"","parse-names":false,"suffix":""},{"dropping-particle":"","family":"Collas","given":"Philippe","non-dropping-particle":"","parse-names":false,"suffix":""},{"dropping-particle":"","family":"Rognes","given":"Torbjørn","non-dropping-particle":"","parse-names":false,"suffix":""},{"dropping-particle":"","family":"Alestro","given":"Peter","non-dropping-particle":"","parse-names":false,"suffix":""}],"id":"ITEM-2","issue":"2","issued":{"date-parts":[["2014"]]},"page":"1-7","title":"Normalization of RNA-Sequencing Data from Samples with Varying mRNA Levels","type":"article-journal","volume":"9"},"uris":["http://www.mendeley.com/documents/?uuid=4123c3c0-75a8-480d-a1e2-482e635fc986"]}],"mendeley":{"formattedCitation":"&lt;sup&gt;23,24&lt;/sup&gt;","plainTextFormattedCitation":"23,24","previouslyFormattedCitation":"&lt;sup&gt;22,23&lt;/sup&gt;"},"properties":{"noteIndex":0},"schema":"https://github.com/citation-style-language/schema/raw/master/csl-citation.json"}</w:instrText>
      </w:r>
      <w:r w:rsidRPr="00B96CC3">
        <w:rPr>
          <w:rStyle w:val="FootnoteReference"/>
          <w:rFonts w:ascii="Calibri" w:hAnsi="Calibri" w:cs="Calibri"/>
          <w:bCs/>
          <w:sz w:val="24"/>
          <w:szCs w:val="24"/>
          <w:bdr w:val="none" w:sz="0" w:space="0" w:color="auto" w:frame="1"/>
          <w:shd w:val="clear" w:color="auto" w:fill="FFFFFF"/>
        </w:rPr>
        <w:fldChar w:fldCharType="separate"/>
      </w:r>
      <w:r w:rsidR="00FA241A" w:rsidRPr="00FA241A">
        <w:rPr>
          <w:rFonts w:ascii="Calibri" w:hAnsi="Calibri" w:cs="Calibri"/>
          <w:noProof/>
          <w:sz w:val="24"/>
          <w:szCs w:val="24"/>
          <w:bdr w:val="none" w:sz="0" w:space="0" w:color="auto" w:frame="1"/>
          <w:shd w:val="clear" w:color="auto" w:fill="FFFFFF"/>
          <w:vertAlign w:val="superscript"/>
        </w:rPr>
        <w:t>23,24</w:t>
      </w:r>
      <w:r w:rsidRPr="00B96CC3">
        <w:rPr>
          <w:rStyle w:val="FootnoteReference"/>
          <w:rFonts w:ascii="Calibri" w:hAnsi="Calibri" w:cs="Calibri"/>
          <w:bCs/>
          <w:sz w:val="24"/>
          <w:szCs w:val="24"/>
          <w:bdr w:val="none" w:sz="0" w:space="0" w:color="auto" w:frame="1"/>
          <w:shd w:val="clear" w:color="auto" w:fill="FFFFFF"/>
        </w:rPr>
        <w:fldChar w:fldCharType="end"/>
      </w:r>
      <w:r w:rsidRPr="00B96CC3">
        <w:rPr>
          <w:rStyle w:val="inline-l2-heading"/>
          <w:rFonts w:ascii="Calibri" w:hAnsi="Calibri" w:cs="Calibri"/>
          <w:bCs/>
          <w:sz w:val="24"/>
          <w:szCs w:val="24"/>
          <w:bdr w:val="none" w:sz="0" w:space="0" w:color="auto" w:frame="1"/>
          <w:shd w:val="clear" w:color="auto" w:fill="FFFFFF"/>
        </w:rPr>
        <w:t xml:space="preserve">. </w:t>
      </w:r>
      <w:r>
        <w:rPr>
          <w:rStyle w:val="inline-l2-heading"/>
          <w:rFonts w:ascii="Calibri" w:hAnsi="Calibri" w:cs="Calibri"/>
          <w:bCs/>
          <w:sz w:val="24"/>
          <w:szCs w:val="24"/>
          <w:bdr w:val="none" w:sz="0" w:space="0" w:color="auto" w:frame="1"/>
          <w:shd w:val="clear" w:color="auto" w:fill="FFFFFF"/>
        </w:rPr>
        <w:t xml:space="preserve">I will analyze RNA-seq data with DESeq2 in R. </w:t>
      </w:r>
      <w:r w:rsidRPr="0073211E">
        <w:rPr>
          <w:rStyle w:val="inline-l2-heading"/>
          <w:rFonts w:ascii="Calibri" w:hAnsi="Calibri" w:cs="Calibri"/>
          <w:bCs/>
          <w:color w:val="000000" w:themeColor="text1"/>
          <w:sz w:val="24"/>
          <w:szCs w:val="24"/>
          <w:bdr w:val="none" w:sz="0" w:space="0" w:color="auto" w:frame="1"/>
          <w:shd w:val="clear" w:color="auto" w:fill="FFFFFF"/>
        </w:rPr>
        <w:t>The package DESeq2 provides methods to test for differential expression by use of negative binomial generalized linear models</w:t>
      </w:r>
      <w:r>
        <w:rPr>
          <w:rStyle w:val="inline-l2-heading"/>
          <w:rFonts w:ascii="Calibri" w:hAnsi="Calibri" w:cs="Calibri"/>
          <w:bCs/>
          <w:color w:val="000000" w:themeColor="text1"/>
          <w:sz w:val="24"/>
          <w:szCs w:val="24"/>
          <w:bdr w:val="none" w:sz="0" w:space="0" w:color="auto" w:frame="1"/>
          <w:shd w:val="clear" w:color="auto" w:fill="FFFFFF"/>
        </w:rPr>
        <w:t>.</w:t>
      </w:r>
    </w:p>
    <w:p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r>
        <w:rPr>
          <w:rStyle w:val="inline-l2-heading"/>
          <w:rFonts w:ascii="Calibri" w:hAnsi="Calibri" w:cs="Calibri"/>
          <w:bCs/>
          <w:color w:val="000000" w:themeColor="text1"/>
          <w:sz w:val="24"/>
          <w:szCs w:val="24"/>
          <w:bdr w:val="none" w:sz="0" w:space="0" w:color="auto" w:frame="1"/>
          <w:shd w:val="clear" w:color="auto" w:fill="FFFFFF"/>
        </w:rPr>
        <w:t>During this project I</w:t>
      </w:r>
      <w:r w:rsidRPr="002E26A8">
        <w:rPr>
          <w:rStyle w:val="inline-l2-heading"/>
          <w:rFonts w:ascii="Calibri" w:hAnsi="Calibri" w:cs="Calibri"/>
          <w:bCs/>
          <w:color w:val="000000" w:themeColor="text1"/>
          <w:sz w:val="24"/>
          <w:szCs w:val="24"/>
          <w:bdr w:val="none" w:sz="0" w:space="0" w:color="auto" w:frame="1"/>
          <w:shd w:val="clear" w:color="auto" w:fill="FFFFFF"/>
        </w:rPr>
        <w:t xml:space="preserve"> will be dealing with many samples and</w:t>
      </w:r>
      <w:r>
        <w:rPr>
          <w:rStyle w:val="inline-l2-heading"/>
          <w:rFonts w:ascii="Calibri" w:hAnsi="Calibri" w:cs="Calibri"/>
          <w:bCs/>
          <w:color w:val="000000" w:themeColor="text1"/>
          <w:sz w:val="24"/>
          <w:szCs w:val="24"/>
          <w:bdr w:val="none" w:sz="0" w:space="0" w:color="auto" w:frame="1"/>
          <w:shd w:val="clear" w:color="auto" w:fill="FFFFFF"/>
        </w:rPr>
        <w:t xml:space="preserve"> carrying out </w:t>
      </w:r>
      <w:r w:rsidR="00BD3215">
        <w:rPr>
          <w:rStyle w:val="inline-l2-heading"/>
          <w:rFonts w:ascii="Calibri" w:hAnsi="Calibri" w:cs="Calibri"/>
          <w:bCs/>
          <w:color w:val="000000" w:themeColor="text1"/>
          <w:sz w:val="24"/>
          <w:szCs w:val="24"/>
          <w:bdr w:val="none" w:sz="0" w:space="0" w:color="auto" w:frame="1"/>
          <w:shd w:val="clear" w:color="auto" w:fill="FFFFFF"/>
        </w:rPr>
        <w:t>RT-</w:t>
      </w:r>
      <w:r>
        <w:rPr>
          <w:rStyle w:val="inline-l2-heading"/>
          <w:rFonts w:ascii="Calibri" w:hAnsi="Calibri" w:cs="Calibri"/>
          <w:bCs/>
          <w:color w:val="000000" w:themeColor="text1"/>
          <w:sz w:val="24"/>
          <w:szCs w:val="24"/>
          <w:bdr w:val="none" w:sz="0" w:space="0" w:color="auto" w:frame="1"/>
          <w:shd w:val="clear" w:color="auto" w:fill="FFFFFF"/>
        </w:rPr>
        <w:t xml:space="preserve">qPCR on many genes. In order to make this practical I </w:t>
      </w:r>
      <w:r w:rsidRPr="002E26A8">
        <w:rPr>
          <w:rStyle w:val="inline-l2-heading"/>
          <w:rFonts w:ascii="Calibri" w:hAnsi="Calibri" w:cs="Calibri"/>
          <w:bCs/>
          <w:color w:val="000000" w:themeColor="text1"/>
          <w:sz w:val="24"/>
          <w:szCs w:val="24"/>
          <w:bdr w:val="none" w:sz="0" w:space="0" w:color="auto" w:frame="1"/>
          <w:shd w:val="clear" w:color="auto" w:fill="FFFFFF"/>
        </w:rPr>
        <w:t xml:space="preserve">will use </w:t>
      </w:r>
      <w:r>
        <w:rPr>
          <w:rStyle w:val="inline-l2-heading"/>
          <w:rFonts w:ascii="Calibri" w:hAnsi="Calibri" w:cs="Calibri"/>
          <w:bCs/>
          <w:color w:val="000000" w:themeColor="text1"/>
          <w:sz w:val="24"/>
          <w:szCs w:val="24"/>
          <w:bdr w:val="none" w:sz="0" w:space="0" w:color="auto" w:frame="1"/>
          <w:shd w:val="clear" w:color="auto" w:fill="FFFFFF"/>
        </w:rPr>
        <w:t xml:space="preserve">the sate-of-the-art lab automation facilities at the Edinburgh Genome Foundry </w:t>
      </w:r>
      <w:r w:rsidRPr="002E26A8">
        <w:rPr>
          <w:rStyle w:val="inline-l2-heading"/>
          <w:rFonts w:ascii="Calibri" w:hAnsi="Calibri" w:cs="Calibri"/>
          <w:bCs/>
          <w:color w:val="000000" w:themeColor="text1"/>
          <w:sz w:val="24"/>
          <w:szCs w:val="24"/>
          <w:bdr w:val="none" w:sz="0" w:space="0" w:color="auto" w:frame="1"/>
          <w:shd w:val="clear" w:color="auto" w:fill="FFFFFF"/>
        </w:rPr>
        <w:t xml:space="preserve">to automate </w:t>
      </w:r>
      <w:r w:rsidR="00BD3215">
        <w:rPr>
          <w:rStyle w:val="inline-l2-heading"/>
          <w:rFonts w:ascii="Calibri" w:hAnsi="Calibri" w:cs="Calibri"/>
          <w:bCs/>
          <w:color w:val="000000" w:themeColor="text1"/>
          <w:sz w:val="24"/>
          <w:szCs w:val="24"/>
          <w:bdr w:val="none" w:sz="0" w:space="0" w:color="auto" w:frame="1"/>
          <w:shd w:val="clear" w:color="auto" w:fill="FFFFFF"/>
        </w:rPr>
        <w:t>RT-</w:t>
      </w:r>
      <w:r w:rsidRPr="002E26A8">
        <w:rPr>
          <w:rStyle w:val="inline-l2-heading"/>
          <w:rFonts w:ascii="Calibri" w:hAnsi="Calibri" w:cs="Calibri"/>
          <w:bCs/>
          <w:color w:val="000000" w:themeColor="text1"/>
          <w:sz w:val="24"/>
          <w:szCs w:val="24"/>
          <w:bdr w:val="none" w:sz="0" w:space="0" w:color="auto" w:frame="1"/>
          <w:shd w:val="clear" w:color="auto" w:fill="FFFFFF"/>
        </w:rPr>
        <w:t>qPCR plate loading</w:t>
      </w:r>
      <w:r>
        <w:rPr>
          <w:rStyle w:val="inline-l2-heading"/>
          <w:rFonts w:ascii="Calibri" w:hAnsi="Calibri" w:cs="Calibri"/>
          <w:bCs/>
          <w:color w:val="000000" w:themeColor="text1"/>
          <w:sz w:val="24"/>
          <w:szCs w:val="24"/>
          <w:bdr w:val="none" w:sz="0" w:space="0" w:color="auto" w:frame="1"/>
          <w:shd w:val="clear" w:color="auto" w:fill="FFFFFF"/>
        </w:rPr>
        <w:t xml:space="preserve"> thereby reducing human error through repetition.</w:t>
      </w:r>
    </w:p>
    <w:p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rsidR="00D63774" w:rsidRDefault="00D63774" w:rsidP="00D63774">
      <w:pPr>
        <w:pStyle w:val="BodyA"/>
        <w:rPr>
          <w:rStyle w:val="inline-l2-heading"/>
          <w:rFonts w:ascii="Calibri" w:hAnsi="Calibri" w:cs="Calibri"/>
          <w:bCs/>
          <w:color w:val="000000" w:themeColor="text1"/>
          <w:sz w:val="24"/>
          <w:szCs w:val="24"/>
          <w:bdr w:val="none" w:sz="0" w:space="0" w:color="auto" w:frame="1"/>
          <w:shd w:val="clear" w:color="auto" w:fill="FFFFFF"/>
        </w:rPr>
      </w:pPr>
    </w:p>
    <w:p w:rsidR="00D63774" w:rsidRDefault="00D63774" w:rsidP="00D63774">
      <w:pPr>
        <w:pStyle w:val="BodyA"/>
        <w:rPr>
          <w:rFonts w:ascii="Calibri" w:eastAsia="Calibri" w:hAnsi="Calibri" w:cs="Calibri"/>
          <w:sz w:val="24"/>
          <w:szCs w:val="24"/>
        </w:rPr>
      </w:pPr>
    </w:p>
    <w:p w:rsidR="000341EA" w:rsidRPr="00B96CC3" w:rsidRDefault="00D63774" w:rsidP="00D63774">
      <w:pPr>
        <w:rPr>
          <w:rFonts w:ascii="Calibri" w:hAnsi="Calibri" w:cs="Calibri"/>
        </w:rPr>
      </w:pPr>
      <w:r w:rsidRPr="00B96CC3">
        <w:rPr>
          <w:rFonts w:ascii="Calibri" w:eastAsia="Calibri" w:hAnsi="Calibri" w:cs="Calibri"/>
        </w:rPr>
        <w:t xml:space="preserve">Word count: </w:t>
      </w:r>
      <w:r w:rsidR="009D0AC4">
        <w:rPr>
          <w:rFonts w:ascii="Calibri" w:eastAsia="Calibri" w:hAnsi="Calibri" w:cs="Calibri"/>
        </w:rPr>
        <w:t>1499</w:t>
      </w:r>
      <w:r w:rsidRPr="00B96CC3">
        <w:rPr>
          <w:rFonts w:ascii="Calibri" w:eastAsia="Calibri" w:hAnsi="Calibri" w:cs="Calibri"/>
        </w:rPr>
        <w:t xml:space="preserve"> (1500)</w:t>
      </w:r>
      <w:r w:rsidR="00812FFE" w:rsidRPr="00B96CC3">
        <w:rPr>
          <w:rFonts w:ascii="Calibri" w:eastAsia="Calibri" w:hAnsi="Calibri" w:cs="Calibri"/>
        </w:rPr>
        <w:br w:type="page"/>
      </w:r>
    </w:p>
    <w:p w:rsidR="000341EA" w:rsidRPr="00543FC6" w:rsidRDefault="00812FFE">
      <w:pPr>
        <w:pStyle w:val="BodyA"/>
        <w:rPr>
          <w:rFonts w:ascii="Calibri" w:eastAsia="Calibri" w:hAnsi="Calibri" w:cs="Calibri"/>
          <w:b/>
          <w:sz w:val="32"/>
          <w:szCs w:val="32"/>
        </w:rPr>
      </w:pPr>
      <w:r w:rsidRPr="00543FC6">
        <w:rPr>
          <w:rFonts w:ascii="Calibri" w:eastAsia="Calibri" w:hAnsi="Calibri" w:cs="Calibri"/>
          <w:b/>
          <w:sz w:val="32"/>
          <w:szCs w:val="32"/>
        </w:rPr>
        <w:lastRenderedPageBreak/>
        <w:t xml:space="preserve">Ethical approval and </w:t>
      </w:r>
      <w:r w:rsidR="00F94C7A" w:rsidRPr="00543FC6">
        <w:rPr>
          <w:rFonts w:ascii="Calibri" w:eastAsia="Calibri" w:hAnsi="Calibri" w:cs="Calibri"/>
          <w:b/>
          <w:sz w:val="32"/>
          <w:szCs w:val="32"/>
        </w:rPr>
        <w:t>licenses</w:t>
      </w:r>
    </w:p>
    <w:p w:rsidR="000341EA" w:rsidRPr="00B96CC3" w:rsidRDefault="000341EA">
      <w:pPr>
        <w:pStyle w:val="BodyA"/>
        <w:rPr>
          <w:rFonts w:ascii="Calibri" w:eastAsia="Calibri" w:hAnsi="Calibri" w:cs="Calibri"/>
          <w:sz w:val="24"/>
          <w:szCs w:val="24"/>
        </w:rPr>
      </w:pPr>
    </w:p>
    <w:p w:rsidR="000341EA" w:rsidRPr="00B96CC3" w:rsidRDefault="00812FFE">
      <w:pPr>
        <w:pStyle w:val="BodyA"/>
        <w:rPr>
          <w:rFonts w:ascii="Calibri" w:eastAsia="Calibri" w:hAnsi="Calibri" w:cs="Calibri"/>
          <w:sz w:val="24"/>
          <w:szCs w:val="24"/>
        </w:rPr>
      </w:pPr>
      <w:r w:rsidRPr="00B96CC3">
        <w:rPr>
          <w:rFonts w:ascii="Calibri" w:eastAsia="Calibri" w:hAnsi="Calibri" w:cs="Calibri"/>
          <w:sz w:val="24"/>
          <w:szCs w:val="24"/>
        </w:rPr>
        <w:t>Not Applicable.</w:t>
      </w:r>
    </w:p>
    <w:p w:rsidR="00437149" w:rsidRPr="00B96CC3" w:rsidRDefault="00437149" w:rsidP="00F94C7A">
      <w:pPr>
        <w:rPr>
          <w:rFonts w:ascii="Calibri" w:eastAsia="Calibri" w:hAnsi="Calibri" w:cs="Calibri"/>
          <w:color w:val="000000"/>
          <w:u w:color="000000"/>
          <w:lang w:eastAsia="en-GB"/>
        </w:rPr>
        <w:sectPr w:rsidR="00437149" w:rsidRPr="00B96CC3" w:rsidSect="00C415BC">
          <w:pgSz w:w="11900" w:h="16840"/>
          <w:pgMar w:top="1134" w:right="1134" w:bottom="1134" w:left="1134" w:header="709" w:footer="850" w:gutter="0"/>
          <w:cols w:space="720"/>
          <w:docGrid w:linePitch="326"/>
        </w:sectPr>
      </w:pPr>
      <w:r w:rsidRPr="00B96CC3">
        <w:rPr>
          <w:rFonts w:ascii="Calibri" w:eastAsia="Calibri" w:hAnsi="Calibri" w:cs="Calibri"/>
        </w:rPr>
        <w:br w:type="page"/>
      </w:r>
    </w:p>
    <w:p w:rsidR="00BB7CE8" w:rsidRDefault="00812FFE" w:rsidP="00C33E9D">
      <w:pPr>
        <w:pStyle w:val="BodyA"/>
        <w:rPr>
          <w:rFonts w:ascii="Calibri" w:eastAsia="Calibri" w:hAnsi="Calibri" w:cs="Calibri"/>
          <w:b/>
          <w:sz w:val="32"/>
          <w:szCs w:val="32"/>
        </w:rPr>
      </w:pPr>
      <w:r w:rsidRPr="00B96CC3">
        <w:rPr>
          <w:rFonts w:ascii="Calibri" w:eastAsia="Calibri" w:hAnsi="Calibri" w:cs="Calibri"/>
          <w:b/>
          <w:sz w:val="32"/>
          <w:szCs w:val="32"/>
        </w:rPr>
        <w:lastRenderedPageBreak/>
        <w:t>Timetable</w:t>
      </w:r>
    </w:p>
    <w:p w:rsidR="00C415BC" w:rsidRDefault="00C847F6" w:rsidP="00C33E9D">
      <w:pPr>
        <w:pStyle w:val="BodyA"/>
        <w:rPr>
          <w:rFonts w:ascii="Calibri" w:eastAsia="Calibri" w:hAnsi="Calibri" w:cs="Calibri"/>
          <w:b/>
          <w:sz w:val="32"/>
          <w:szCs w:val="32"/>
        </w:rPr>
        <w:sectPr w:rsidR="00C415BC" w:rsidSect="00C33E9D">
          <w:pgSz w:w="16840" w:h="11900" w:orient="landscape"/>
          <w:pgMar w:top="284" w:right="1134" w:bottom="1134" w:left="1134" w:header="709" w:footer="850" w:gutter="0"/>
          <w:cols w:space="720"/>
          <w:docGrid w:linePitch="326"/>
        </w:sectPr>
      </w:pPr>
      <w:r w:rsidRPr="00C847F6">
        <w:rPr>
          <w:noProof/>
          <w:lang w:val="en-GB"/>
        </w:rPr>
        <w:drawing>
          <wp:inline distT="0" distB="0" distL="0" distR="0">
            <wp:extent cx="9253220" cy="5333986"/>
            <wp:effectExtent l="0" t="0" r="508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253220" cy="5333986"/>
                    </a:xfrm>
                    <a:prstGeom prst="rect">
                      <a:avLst/>
                    </a:prstGeom>
                    <a:noFill/>
                    <a:ln>
                      <a:noFill/>
                    </a:ln>
                  </pic:spPr>
                </pic:pic>
              </a:graphicData>
            </a:graphic>
          </wp:inline>
        </w:drawing>
      </w:r>
      <w:r w:rsidR="00F50443" w:rsidRPr="00F50443">
        <w:rPr>
          <w:rFonts w:ascii="Calibri" w:eastAsia="Calibri" w:hAnsi="Calibri" w:cs="Calibri"/>
          <w:b/>
          <w:sz w:val="32"/>
          <w:szCs w:val="32"/>
        </w:rPr>
        <w:t xml:space="preserve"> </w:t>
      </w:r>
    </w:p>
    <w:p w:rsidR="00FA241A" w:rsidRPr="004B04B1" w:rsidRDefault="00D63774"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eastAsia="Calibri" w:hAnsi="Calibri" w:cs="Calibri"/>
          <w:sz w:val="22"/>
          <w:szCs w:val="22"/>
        </w:rPr>
        <w:lastRenderedPageBreak/>
        <w:fldChar w:fldCharType="begin" w:fldLock="1"/>
      </w:r>
      <w:r w:rsidRPr="004B04B1">
        <w:rPr>
          <w:rFonts w:ascii="Calibri" w:eastAsia="Calibri" w:hAnsi="Calibri" w:cs="Calibri"/>
          <w:sz w:val="22"/>
          <w:szCs w:val="22"/>
        </w:rPr>
        <w:instrText xml:space="preserve">ADDIN Mendeley Bibliography CSL_BIBLIOGRAPHY </w:instrText>
      </w:r>
      <w:r w:rsidRPr="004B04B1">
        <w:rPr>
          <w:rFonts w:ascii="Calibri" w:eastAsia="Calibri" w:hAnsi="Calibri" w:cs="Calibri"/>
          <w:sz w:val="22"/>
          <w:szCs w:val="22"/>
        </w:rPr>
        <w:fldChar w:fldCharType="separate"/>
      </w:r>
      <w:r w:rsidR="00FA241A" w:rsidRPr="004B04B1">
        <w:rPr>
          <w:rFonts w:ascii="Calibri" w:hAnsi="Calibri" w:cs="Calibri"/>
          <w:noProof/>
          <w:sz w:val="22"/>
          <w:szCs w:val="22"/>
        </w:rPr>
        <w:t xml:space="preserve">1. </w:t>
      </w:r>
      <w:r w:rsidR="00FA241A" w:rsidRPr="004B04B1">
        <w:rPr>
          <w:rFonts w:ascii="Calibri" w:hAnsi="Calibri" w:cs="Calibri"/>
          <w:noProof/>
          <w:sz w:val="22"/>
          <w:szCs w:val="22"/>
        </w:rPr>
        <w:tab/>
        <w:t xml:space="preserve">Hughes ES, Bell JE, Simmonds P. Investigation of the dynamics of the spread of human immunodeficiency virus to brain and other tissues by evolutionary analysis of sequences from the p17gag and env genes. </w:t>
      </w:r>
      <w:r w:rsidR="00FA241A" w:rsidRPr="004B04B1">
        <w:rPr>
          <w:rFonts w:ascii="Calibri" w:hAnsi="Calibri" w:cs="Calibri"/>
          <w:i/>
          <w:iCs/>
          <w:noProof/>
          <w:sz w:val="22"/>
          <w:szCs w:val="22"/>
        </w:rPr>
        <w:t>J Virol</w:t>
      </w:r>
      <w:r w:rsidR="00FA241A" w:rsidRPr="004B04B1">
        <w:rPr>
          <w:rFonts w:ascii="Calibri" w:hAnsi="Calibri" w:cs="Calibri"/>
          <w:noProof/>
          <w:sz w:val="22"/>
          <w:szCs w:val="22"/>
        </w:rPr>
        <w:t>. 1997;71(2):1272-1280. http://www.ncbi.nlm.nih.gov/pubmed/8995651. Accessed November 20, 2018.</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2. </w:t>
      </w:r>
      <w:r w:rsidRPr="004B04B1">
        <w:rPr>
          <w:rFonts w:ascii="Calibri" w:hAnsi="Calibri" w:cs="Calibri"/>
          <w:noProof/>
          <w:sz w:val="22"/>
          <w:szCs w:val="22"/>
        </w:rPr>
        <w:tab/>
        <w:t xml:space="preserve">Hughes ES, Bell JE, Simmonds P. Investigation of population diversity of human immunodeficiency virus type 1 in vivo by nucleotide sequencing and length polymorphism analysis of the V1/V2 hypervariable region of env. </w:t>
      </w:r>
      <w:r w:rsidRPr="004B04B1">
        <w:rPr>
          <w:rFonts w:ascii="Calibri" w:hAnsi="Calibri" w:cs="Calibri"/>
          <w:i/>
          <w:iCs/>
          <w:noProof/>
          <w:sz w:val="22"/>
          <w:szCs w:val="22"/>
        </w:rPr>
        <w:t>J Gen Virol</w:t>
      </w:r>
      <w:r w:rsidRPr="004B04B1">
        <w:rPr>
          <w:rFonts w:ascii="Calibri" w:hAnsi="Calibri" w:cs="Calibri"/>
          <w:noProof/>
          <w:sz w:val="22"/>
          <w:szCs w:val="22"/>
        </w:rPr>
        <w:t>. 1997;78(11):2871-2882. doi:10.1099/0022-1317-78-11-2871</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3. </w:t>
      </w:r>
      <w:r w:rsidRPr="004B04B1">
        <w:rPr>
          <w:rFonts w:ascii="Calibri" w:hAnsi="Calibri" w:cs="Calibri"/>
          <w:noProof/>
          <w:sz w:val="22"/>
          <w:szCs w:val="22"/>
        </w:rPr>
        <w:tab/>
        <w:t xml:space="preserve">Hughes ES, Shaw KM, Ashley RH. Mutagenesis and functional reconstitution of chlamydial major outer membrane proteins: VS4 domains are not required for pore formation but modify channel function. </w:t>
      </w:r>
      <w:r w:rsidRPr="004B04B1">
        <w:rPr>
          <w:rFonts w:ascii="Calibri" w:hAnsi="Calibri" w:cs="Calibri"/>
          <w:i/>
          <w:iCs/>
          <w:noProof/>
          <w:sz w:val="22"/>
          <w:szCs w:val="22"/>
        </w:rPr>
        <w:t>Infect Immun</w:t>
      </w:r>
      <w:r w:rsidRPr="004B04B1">
        <w:rPr>
          <w:rFonts w:ascii="Calibri" w:hAnsi="Calibri" w:cs="Calibri"/>
          <w:noProof/>
          <w:sz w:val="22"/>
          <w:szCs w:val="22"/>
        </w:rPr>
        <w:t>. 2001;69(3):1671-1678. doi:10.1128/IAI.69.3.1671-1678.2001</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4. </w:t>
      </w:r>
      <w:r w:rsidRPr="004B04B1">
        <w:rPr>
          <w:rFonts w:ascii="Calibri" w:hAnsi="Calibri" w:cs="Calibri"/>
          <w:noProof/>
          <w:sz w:val="22"/>
          <w:szCs w:val="22"/>
        </w:rPr>
        <w:tab/>
        <w:t xml:space="preserve">Park BJ, Wannemuehler KA, Marston BJ, Govender N, Pappas PG, Chiller TM. Estimation of the current global burden of cryptococcal meningitis among persons living with HIV/AIDS. </w:t>
      </w:r>
      <w:r w:rsidRPr="004B04B1">
        <w:rPr>
          <w:rFonts w:ascii="Calibri" w:hAnsi="Calibri" w:cs="Calibri"/>
          <w:i/>
          <w:iCs/>
          <w:noProof/>
          <w:sz w:val="22"/>
          <w:szCs w:val="22"/>
        </w:rPr>
        <w:t>AIDS</w:t>
      </w:r>
      <w:r w:rsidRPr="004B04B1">
        <w:rPr>
          <w:rFonts w:ascii="Calibri" w:hAnsi="Calibri" w:cs="Calibri"/>
          <w:noProof/>
          <w:sz w:val="22"/>
          <w:szCs w:val="22"/>
        </w:rPr>
        <w:t>. 2009;23(4):525-530. doi:10.1097/QAD.0b013e328322ffac</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5. </w:t>
      </w:r>
      <w:r w:rsidRPr="004B04B1">
        <w:rPr>
          <w:rFonts w:ascii="Calibri" w:hAnsi="Calibri" w:cs="Calibri"/>
          <w:noProof/>
          <w:sz w:val="22"/>
          <w:szCs w:val="22"/>
        </w:rPr>
        <w:tab/>
        <w:t xml:space="preserve">Harrison TS. The burden of HIV-associated cryptococcal disease. </w:t>
      </w:r>
      <w:r w:rsidRPr="004B04B1">
        <w:rPr>
          <w:rFonts w:ascii="Calibri" w:hAnsi="Calibri" w:cs="Calibri"/>
          <w:i/>
          <w:iCs/>
          <w:noProof/>
          <w:sz w:val="22"/>
          <w:szCs w:val="22"/>
        </w:rPr>
        <w:t>AIDS</w:t>
      </w:r>
      <w:r w:rsidRPr="004B04B1">
        <w:rPr>
          <w:rFonts w:ascii="Calibri" w:hAnsi="Calibri" w:cs="Calibri"/>
          <w:noProof/>
          <w:sz w:val="22"/>
          <w:szCs w:val="22"/>
        </w:rPr>
        <w:t>. 2009;23(4):531-532. doi:10.1097/QAD.0b013e328322ffc3</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6. </w:t>
      </w:r>
      <w:r w:rsidRPr="004B04B1">
        <w:rPr>
          <w:rFonts w:ascii="Calibri" w:hAnsi="Calibri" w:cs="Calibri"/>
          <w:noProof/>
          <w:sz w:val="22"/>
          <w:szCs w:val="22"/>
        </w:rPr>
        <w:tab/>
        <w:t xml:space="preserve">Berthois Y, Katzenellenbogen JA, Katzenellenbogen BS. Phenol red in tissue culture media is a weak estrogen: implications concerning the study of estrogen-responsive cells in culture. </w:t>
      </w:r>
      <w:r w:rsidRPr="004B04B1">
        <w:rPr>
          <w:rFonts w:ascii="Calibri" w:hAnsi="Calibri" w:cs="Calibri"/>
          <w:i/>
          <w:iCs/>
          <w:noProof/>
          <w:sz w:val="22"/>
          <w:szCs w:val="22"/>
        </w:rPr>
        <w:t>Proc Natl Acad Sci U S A</w:t>
      </w:r>
      <w:r w:rsidRPr="004B04B1">
        <w:rPr>
          <w:rFonts w:ascii="Calibri" w:hAnsi="Calibri" w:cs="Calibri"/>
          <w:noProof/>
          <w:sz w:val="22"/>
          <w:szCs w:val="22"/>
        </w:rPr>
        <w:t>. 1986;83(8):2496-2500. http://www.ncbi.nlm.nih.gov/pubmed/3458212. Accessed December 10, 2018.</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7. </w:t>
      </w:r>
      <w:r w:rsidRPr="004B04B1">
        <w:rPr>
          <w:rFonts w:ascii="Calibri" w:hAnsi="Calibri" w:cs="Calibri"/>
          <w:noProof/>
          <w:sz w:val="22"/>
          <w:szCs w:val="22"/>
        </w:rPr>
        <w:tab/>
        <w:t xml:space="preserve">Welshons W V., Wolf MF, Murphy CS, Jordan VC. Estrogenic activity of phenol red. </w:t>
      </w:r>
      <w:r w:rsidRPr="004B04B1">
        <w:rPr>
          <w:rFonts w:ascii="Calibri" w:hAnsi="Calibri" w:cs="Calibri"/>
          <w:i/>
          <w:iCs/>
          <w:noProof/>
          <w:sz w:val="22"/>
          <w:szCs w:val="22"/>
        </w:rPr>
        <w:t>Mol Cell Endocrinol</w:t>
      </w:r>
      <w:r w:rsidRPr="004B04B1">
        <w:rPr>
          <w:rFonts w:ascii="Calibri" w:hAnsi="Calibri" w:cs="Calibri"/>
          <w:noProof/>
          <w:sz w:val="22"/>
          <w:szCs w:val="22"/>
        </w:rPr>
        <w:t>. 1988;57(3):169-178. doi:10.1016/0303-7207(88)90072-X</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8. </w:t>
      </w:r>
      <w:r w:rsidRPr="004B04B1">
        <w:rPr>
          <w:rFonts w:ascii="Calibri" w:hAnsi="Calibri" w:cs="Calibri"/>
          <w:noProof/>
          <w:sz w:val="22"/>
          <w:szCs w:val="22"/>
        </w:rPr>
        <w:tab/>
        <w:t xml:space="preserve">Butts A, Koselny K, Chabrier-Roselló Y, et al. Estrogen Receptor Antagonists Are Anti-Cryptococcal Agents That Directly Bind EF Hand Proteins and Synergize with Fluconazole In Vivo. </w:t>
      </w:r>
      <w:r w:rsidRPr="004B04B1">
        <w:rPr>
          <w:rFonts w:ascii="Calibri" w:hAnsi="Calibri" w:cs="Calibri"/>
          <w:i/>
          <w:iCs/>
          <w:noProof/>
          <w:sz w:val="22"/>
          <w:szCs w:val="22"/>
        </w:rPr>
        <w:t>MBio</w:t>
      </w:r>
      <w:r w:rsidRPr="004B04B1">
        <w:rPr>
          <w:rFonts w:ascii="Calibri" w:hAnsi="Calibri" w:cs="Calibri"/>
          <w:noProof/>
          <w:sz w:val="22"/>
          <w:szCs w:val="22"/>
        </w:rPr>
        <w:t>. 2014;5(1):e00765-13. doi:10.1128/MBIO.00765-13</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9. </w:t>
      </w:r>
      <w:r w:rsidRPr="004B04B1">
        <w:rPr>
          <w:rFonts w:ascii="Calibri" w:hAnsi="Calibri" w:cs="Calibri"/>
          <w:noProof/>
          <w:sz w:val="22"/>
          <w:szCs w:val="22"/>
        </w:rPr>
        <w:tab/>
        <w:t xml:space="preserve">Mohr JA, Long H, McKown BA, Muchmore HG. </w:t>
      </w:r>
      <w:r w:rsidRPr="004B04B1">
        <w:rPr>
          <w:rFonts w:ascii="Calibri" w:hAnsi="Calibri" w:cs="Calibri"/>
          <w:i/>
          <w:iCs/>
          <w:noProof/>
          <w:sz w:val="22"/>
          <w:szCs w:val="22"/>
        </w:rPr>
        <w:t>In vitro</w:t>
      </w:r>
      <w:r w:rsidRPr="004B04B1">
        <w:rPr>
          <w:rFonts w:ascii="Calibri" w:hAnsi="Calibri" w:cs="Calibri"/>
          <w:noProof/>
          <w:sz w:val="22"/>
          <w:szCs w:val="22"/>
        </w:rPr>
        <w:t xml:space="preserve"> susceptibility of </w:t>
      </w:r>
      <w:r w:rsidRPr="004B04B1">
        <w:rPr>
          <w:rFonts w:ascii="Calibri" w:hAnsi="Calibri" w:cs="Calibri"/>
          <w:i/>
          <w:iCs/>
          <w:noProof/>
          <w:sz w:val="22"/>
          <w:szCs w:val="22"/>
        </w:rPr>
        <w:t>Cryptococcus neoformans</w:t>
      </w:r>
      <w:r w:rsidRPr="004B04B1">
        <w:rPr>
          <w:rFonts w:ascii="Calibri" w:hAnsi="Calibri" w:cs="Calibri"/>
          <w:noProof/>
          <w:sz w:val="22"/>
          <w:szCs w:val="22"/>
        </w:rPr>
        <w:t xml:space="preserve"> to steroids. </w:t>
      </w:r>
      <w:r w:rsidRPr="004B04B1">
        <w:rPr>
          <w:rFonts w:ascii="Calibri" w:hAnsi="Calibri" w:cs="Calibri"/>
          <w:i/>
          <w:iCs/>
          <w:noProof/>
          <w:sz w:val="22"/>
          <w:szCs w:val="22"/>
        </w:rPr>
        <w:t>Med Mycol</w:t>
      </w:r>
      <w:r w:rsidRPr="004B04B1">
        <w:rPr>
          <w:rFonts w:ascii="Calibri" w:hAnsi="Calibri" w:cs="Calibri"/>
          <w:noProof/>
          <w:sz w:val="22"/>
          <w:szCs w:val="22"/>
        </w:rPr>
        <w:t>. 1972;10(2):171-172. doi:10.1080/00362177285190331</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10. </w:t>
      </w:r>
      <w:r w:rsidRPr="004B04B1">
        <w:rPr>
          <w:rFonts w:ascii="Calibri" w:hAnsi="Calibri" w:cs="Calibri"/>
          <w:noProof/>
          <w:sz w:val="22"/>
          <w:szCs w:val="22"/>
        </w:rPr>
        <w:tab/>
        <w:t xml:space="preserve">Zaragoza O, Fries BC, Casadevall A. Induction of capsule growth in Cryptococcus neoformans by mammalian serum and CO(2). </w:t>
      </w:r>
      <w:r w:rsidRPr="004B04B1">
        <w:rPr>
          <w:rFonts w:ascii="Calibri" w:hAnsi="Calibri" w:cs="Calibri"/>
          <w:i/>
          <w:iCs/>
          <w:noProof/>
          <w:sz w:val="22"/>
          <w:szCs w:val="22"/>
        </w:rPr>
        <w:t>Infect Immun</w:t>
      </w:r>
      <w:r w:rsidRPr="004B04B1">
        <w:rPr>
          <w:rFonts w:ascii="Calibri" w:hAnsi="Calibri" w:cs="Calibri"/>
          <w:noProof/>
          <w:sz w:val="22"/>
          <w:szCs w:val="22"/>
        </w:rPr>
        <w:t>. 2003;71(11):6155-6164. doi:10.1128/iai.71.11.6155-6164.2003</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11. </w:t>
      </w:r>
      <w:r w:rsidRPr="004B04B1">
        <w:rPr>
          <w:rFonts w:ascii="Calibri" w:hAnsi="Calibri" w:cs="Calibri"/>
          <w:noProof/>
          <w:sz w:val="22"/>
          <w:szCs w:val="22"/>
        </w:rPr>
        <w:tab/>
        <w:t xml:space="preserve">Dambuza IM, Drake T, Chapuis A, et al. The Cryptococcus neoformans Titan cell is an inducible and regulated morphotype underlying pathogenesis. Mitchell AP, ed. </w:t>
      </w:r>
      <w:r w:rsidRPr="004B04B1">
        <w:rPr>
          <w:rFonts w:ascii="Calibri" w:hAnsi="Calibri" w:cs="Calibri"/>
          <w:i/>
          <w:iCs/>
          <w:noProof/>
          <w:sz w:val="22"/>
          <w:szCs w:val="22"/>
        </w:rPr>
        <w:t>PLOS Pathog</w:t>
      </w:r>
      <w:r w:rsidRPr="004B04B1">
        <w:rPr>
          <w:rFonts w:ascii="Calibri" w:hAnsi="Calibri" w:cs="Calibri"/>
          <w:noProof/>
          <w:sz w:val="22"/>
          <w:szCs w:val="22"/>
        </w:rPr>
        <w:t>. 2018;14(5):e1006978. doi:10.1371/journal.ppat.1006978</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12. </w:t>
      </w:r>
      <w:r w:rsidRPr="004B04B1">
        <w:rPr>
          <w:rFonts w:ascii="Calibri" w:hAnsi="Calibri" w:cs="Calibri"/>
          <w:noProof/>
          <w:sz w:val="22"/>
          <w:szCs w:val="22"/>
        </w:rPr>
        <w:tab/>
        <w:t xml:space="preserve">Walenkamp AM, Verheul AF, Scharringa J, Hoepelman IM. Pulmonary surfactant protein A binds to Cryptococcus neoformans without promoting phagocytosis. </w:t>
      </w:r>
      <w:r w:rsidRPr="004B04B1">
        <w:rPr>
          <w:rFonts w:ascii="Calibri" w:hAnsi="Calibri" w:cs="Calibri"/>
          <w:i/>
          <w:iCs/>
          <w:noProof/>
          <w:sz w:val="22"/>
          <w:szCs w:val="22"/>
        </w:rPr>
        <w:t>Eur J Clin Invest</w:t>
      </w:r>
      <w:r w:rsidRPr="004B04B1">
        <w:rPr>
          <w:rFonts w:ascii="Calibri" w:hAnsi="Calibri" w:cs="Calibri"/>
          <w:noProof/>
          <w:sz w:val="22"/>
          <w:szCs w:val="22"/>
        </w:rPr>
        <w:t>. 1999;29(1):83-92. http://www.ncbi.nlm.nih.gov/pubmed/10092994. Accessed November 22, 2018.</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13. </w:t>
      </w:r>
      <w:r w:rsidRPr="004B04B1">
        <w:rPr>
          <w:rFonts w:ascii="Calibri" w:hAnsi="Calibri" w:cs="Calibri"/>
          <w:noProof/>
          <w:sz w:val="22"/>
          <w:szCs w:val="22"/>
        </w:rPr>
        <w:tab/>
        <w:t xml:space="preserve">van de Wetering JK, Coenjaerts FEJ, Vaandrager AB, van Golde LMG, Batenburg JJ. Aggregation of Cryptococcus neoformans by surfactant protein D is inhibited by its capsular component glucuronoxylomannan. </w:t>
      </w:r>
      <w:r w:rsidRPr="004B04B1">
        <w:rPr>
          <w:rFonts w:ascii="Calibri" w:hAnsi="Calibri" w:cs="Calibri"/>
          <w:i/>
          <w:iCs/>
          <w:noProof/>
          <w:sz w:val="22"/>
          <w:szCs w:val="22"/>
        </w:rPr>
        <w:t>Infect Immun</w:t>
      </w:r>
      <w:r w:rsidRPr="004B04B1">
        <w:rPr>
          <w:rFonts w:ascii="Calibri" w:hAnsi="Calibri" w:cs="Calibri"/>
          <w:noProof/>
          <w:sz w:val="22"/>
          <w:szCs w:val="22"/>
        </w:rPr>
        <w:t>. 2004;72(1):145-153. doi:10.1128/IAI.72.1.145-153.2004</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14. </w:t>
      </w:r>
      <w:r w:rsidRPr="004B04B1">
        <w:rPr>
          <w:rFonts w:ascii="Calibri" w:hAnsi="Calibri" w:cs="Calibri"/>
          <w:noProof/>
          <w:sz w:val="22"/>
          <w:szCs w:val="22"/>
        </w:rPr>
        <w:tab/>
        <w:t xml:space="preserve">Schelenz S, Malhotra R, Sim RB, Holmskov U, Bancroft GJ. Binding of host collectins to the pathogenic yeast Cryptococcus neoformans: human surfactant protein D acts as an agglutinin for acapsular yeast cells. </w:t>
      </w:r>
      <w:r w:rsidRPr="004B04B1">
        <w:rPr>
          <w:rFonts w:ascii="Calibri" w:hAnsi="Calibri" w:cs="Calibri"/>
          <w:i/>
          <w:iCs/>
          <w:noProof/>
          <w:sz w:val="22"/>
          <w:szCs w:val="22"/>
        </w:rPr>
        <w:t>Infect Immun</w:t>
      </w:r>
      <w:r w:rsidRPr="004B04B1">
        <w:rPr>
          <w:rFonts w:ascii="Calibri" w:hAnsi="Calibri" w:cs="Calibri"/>
          <w:noProof/>
          <w:sz w:val="22"/>
          <w:szCs w:val="22"/>
        </w:rPr>
        <w:t>. 1995;63(9):3360-3366. http://www.ncbi.nlm.nih.gov/pubmed/7642263. Accessed November 22, 2018.</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lastRenderedPageBreak/>
        <w:t xml:space="preserve">15. </w:t>
      </w:r>
      <w:r w:rsidRPr="004B04B1">
        <w:rPr>
          <w:rFonts w:ascii="Calibri" w:hAnsi="Calibri" w:cs="Calibri"/>
          <w:noProof/>
          <w:sz w:val="22"/>
          <w:szCs w:val="22"/>
        </w:rPr>
        <w:tab/>
        <w:t xml:space="preserve">van Asbeck EC, Hoepelman AI, Scharringa J, Herpers BL, Verhoef J. Mannose binding lectin plays a crucial role in innate immunity against yeast by enhanced complement activation and enhanced uptake of polymorphonuclear cells. </w:t>
      </w:r>
      <w:r w:rsidRPr="004B04B1">
        <w:rPr>
          <w:rFonts w:ascii="Calibri" w:hAnsi="Calibri" w:cs="Calibri"/>
          <w:i/>
          <w:iCs/>
          <w:noProof/>
          <w:sz w:val="22"/>
          <w:szCs w:val="22"/>
        </w:rPr>
        <w:t>BMC Microbiol</w:t>
      </w:r>
      <w:r w:rsidRPr="004B04B1">
        <w:rPr>
          <w:rFonts w:ascii="Calibri" w:hAnsi="Calibri" w:cs="Calibri"/>
          <w:noProof/>
          <w:sz w:val="22"/>
          <w:szCs w:val="22"/>
        </w:rPr>
        <w:t>. 2008;8(1):229. doi:10.1186/1471-2180-8-229</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16. </w:t>
      </w:r>
      <w:r w:rsidRPr="004B04B1">
        <w:rPr>
          <w:rFonts w:ascii="Calibri" w:hAnsi="Calibri" w:cs="Calibri"/>
          <w:noProof/>
          <w:sz w:val="22"/>
          <w:szCs w:val="22"/>
        </w:rPr>
        <w:tab/>
        <w:t xml:space="preserve">Chaka W, Verheul AF, Vaishnav V V, et al. Induction of TNF-alpha in human peripheral blood mononuclear cells by the mannoprotein of Cryptococcus neoformans involves human mannose binding protein. </w:t>
      </w:r>
      <w:r w:rsidRPr="004B04B1">
        <w:rPr>
          <w:rFonts w:ascii="Calibri" w:hAnsi="Calibri" w:cs="Calibri"/>
          <w:i/>
          <w:iCs/>
          <w:noProof/>
          <w:sz w:val="22"/>
          <w:szCs w:val="22"/>
        </w:rPr>
        <w:t>J Immunol</w:t>
      </w:r>
      <w:r w:rsidRPr="004B04B1">
        <w:rPr>
          <w:rFonts w:ascii="Calibri" w:hAnsi="Calibri" w:cs="Calibri"/>
          <w:noProof/>
          <w:sz w:val="22"/>
          <w:szCs w:val="22"/>
        </w:rPr>
        <w:t>. 1997;159(6):2979-2985. http://www.ncbi.nlm.nih.gov/pubmed/9300722. Accessed November 22, 2018.</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17. </w:t>
      </w:r>
      <w:r w:rsidRPr="004B04B1">
        <w:rPr>
          <w:rFonts w:ascii="Calibri" w:hAnsi="Calibri" w:cs="Calibri"/>
          <w:noProof/>
          <w:sz w:val="22"/>
          <w:szCs w:val="22"/>
        </w:rPr>
        <w:tab/>
        <w:t xml:space="preserve">Giles SS, Zaas AK, Reidy MF, Perfect JR, Wright JR. Cryptococcus neoformans is resistant to surfactant protein A mediated host defense mechanisms. </w:t>
      </w:r>
      <w:r w:rsidRPr="004B04B1">
        <w:rPr>
          <w:rFonts w:ascii="Calibri" w:hAnsi="Calibri" w:cs="Calibri"/>
          <w:i/>
          <w:iCs/>
          <w:noProof/>
          <w:sz w:val="22"/>
          <w:szCs w:val="22"/>
        </w:rPr>
        <w:t>PLoS One</w:t>
      </w:r>
      <w:r w:rsidRPr="004B04B1">
        <w:rPr>
          <w:rFonts w:ascii="Calibri" w:hAnsi="Calibri" w:cs="Calibri"/>
          <w:noProof/>
          <w:sz w:val="22"/>
          <w:szCs w:val="22"/>
        </w:rPr>
        <w:t>. 2007;2(12):e1370. doi:10.1371/journal.pone.0001370</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18. </w:t>
      </w:r>
      <w:r w:rsidRPr="004B04B1">
        <w:rPr>
          <w:rFonts w:ascii="Calibri" w:hAnsi="Calibri" w:cs="Calibri"/>
          <w:noProof/>
          <w:sz w:val="22"/>
          <w:szCs w:val="22"/>
        </w:rPr>
        <w:tab/>
        <w:t xml:space="preserve">Geunes-Boyer S, Oliver TN, Janbon G, et al. Surfactant protein D increases phagocytosis of hypocapsular Cryptococcus neoformans by murine macrophages and enhances fungal survival. </w:t>
      </w:r>
      <w:r w:rsidRPr="004B04B1">
        <w:rPr>
          <w:rFonts w:ascii="Calibri" w:hAnsi="Calibri" w:cs="Calibri"/>
          <w:i/>
          <w:iCs/>
          <w:noProof/>
          <w:sz w:val="22"/>
          <w:szCs w:val="22"/>
        </w:rPr>
        <w:t>Infect Immun</w:t>
      </w:r>
      <w:r w:rsidRPr="004B04B1">
        <w:rPr>
          <w:rFonts w:ascii="Calibri" w:hAnsi="Calibri" w:cs="Calibri"/>
          <w:noProof/>
          <w:sz w:val="22"/>
          <w:szCs w:val="22"/>
        </w:rPr>
        <w:t>. 2009;77(7):2783-2794. doi:10.1128/IAI.00088-09</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19. </w:t>
      </w:r>
      <w:r w:rsidRPr="004B04B1">
        <w:rPr>
          <w:rFonts w:ascii="Calibri" w:hAnsi="Calibri" w:cs="Calibri"/>
          <w:noProof/>
          <w:sz w:val="22"/>
          <w:szCs w:val="22"/>
        </w:rPr>
        <w:tab/>
        <w:t xml:space="preserve">Geunes-Boyer S, Beers MF, Perfect JR, Heitman J, Wright JR. Surfactant Protein D Facilitates Cryptococcus neoformans Infection. Deepe GS, ed. </w:t>
      </w:r>
      <w:r w:rsidRPr="004B04B1">
        <w:rPr>
          <w:rFonts w:ascii="Calibri" w:hAnsi="Calibri" w:cs="Calibri"/>
          <w:i/>
          <w:iCs/>
          <w:noProof/>
          <w:sz w:val="22"/>
          <w:szCs w:val="22"/>
        </w:rPr>
        <w:t>Infect Immun</w:t>
      </w:r>
      <w:r w:rsidRPr="004B04B1">
        <w:rPr>
          <w:rFonts w:ascii="Calibri" w:hAnsi="Calibri" w:cs="Calibri"/>
          <w:noProof/>
          <w:sz w:val="22"/>
          <w:szCs w:val="22"/>
        </w:rPr>
        <w:t>. 2012;80(7):2444-2453. doi:10.1128/IAI.05613-11</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20. </w:t>
      </w:r>
      <w:r w:rsidRPr="004B04B1">
        <w:rPr>
          <w:rFonts w:ascii="Calibri" w:hAnsi="Calibri" w:cs="Calibri"/>
          <w:noProof/>
          <w:sz w:val="22"/>
          <w:szCs w:val="22"/>
        </w:rPr>
        <w:tab/>
        <w:t xml:space="preserve">Geunes-Boyer S, Beers MF, Perfect JR, Heitman J, Wright JR. Surfactant protein D facilitates Cryptococcus neoformans infection. </w:t>
      </w:r>
      <w:r w:rsidRPr="004B04B1">
        <w:rPr>
          <w:rFonts w:ascii="Calibri" w:hAnsi="Calibri" w:cs="Calibri"/>
          <w:i/>
          <w:iCs/>
          <w:noProof/>
          <w:sz w:val="22"/>
          <w:szCs w:val="22"/>
        </w:rPr>
        <w:t>Infect Immun</w:t>
      </w:r>
      <w:r w:rsidRPr="004B04B1">
        <w:rPr>
          <w:rFonts w:ascii="Calibri" w:hAnsi="Calibri" w:cs="Calibri"/>
          <w:noProof/>
          <w:sz w:val="22"/>
          <w:szCs w:val="22"/>
        </w:rPr>
        <w:t>. 2012;80(7):2444-2453. doi:10.1128/IAI.05613-11</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21. </w:t>
      </w:r>
      <w:r w:rsidRPr="004B04B1">
        <w:rPr>
          <w:rFonts w:ascii="Calibri" w:hAnsi="Calibri" w:cs="Calibri"/>
          <w:noProof/>
          <w:sz w:val="22"/>
          <w:szCs w:val="22"/>
        </w:rPr>
        <w:tab/>
        <w:t>Vandesomlele J. Accurate normalization of real-time quantitative RT-PCR data.pdf. 2002:1-12. doi:10.1186/gb-2002-3-7-research0034</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22. </w:t>
      </w:r>
      <w:r w:rsidRPr="004B04B1">
        <w:rPr>
          <w:rFonts w:ascii="Calibri" w:hAnsi="Calibri" w:cs="Calibri"/>
          <w:noProof/>
          <w:sz w:val="22"/>
          <w:szCs w:val="22"/>
        </w:rPr>
        <w:tab/>
        <w:t xml:space="preserve">Bustin SA, Benes V, Garson JA, et al. The MIQE guidelines: minimum information for publication of quantitative real-time PCR experiments. </w:t>
      </w:r>
      <w:r w:rsidRPr="004B04B1">
        <w:rPr>
          <w:rFonts w:ascii="Calibri" w:hAnsi="Calibri" w:cs="Calibri"/>
          <w:i/>
          <w:iCs/>
          <w:noProof/>
          <w:sz w:val="22"/>
          <w:szCs w:val="22"/>
        </w:rPr>
        <w:t>Clin Chem</w:t>
      </w:r>
      <w:r w:rsidRPr="004B04B1">
        <w:rPr>
          <w:rFonts w:ascii="Calibri" w:hAnsi="Calibri" w:cs="Calibri"/>
          <w:noProof/>
          <w:sz w:val="22"/>
          <w:szCs w:val="22"/>
        </w:rPr>
        <w:t>. 2009;55(4):611-622. doi:10.1373/clinchem.2008.112797</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23. </w:t>
      </w:r>
      <w:r w:rsidRPr="004B04B1">
        <w:rPr>
          <w:rFonts w:ascii="Calibri" w:hAnsi="Calibri" w:cs="Calibri"/>
          <w:noProof/>
          <w:sz w:val="22"/>
          <w:szCs w:val="22"/>
        </w:rPr>
        <w:tab/>
        <w:t>Aigner TMD, Sc D. Normalization strategies for mRNA expression data in cartilage research. 2008. doi:10.1016/j.joca.2007.12.007</w:t>
      </w:r>
    </w:p>
    <w:p w:rsidR="00FA241A" w:rsidRPr="004B04B1" w:rsidRDefault="00FA241A" w:rsidP="00FA241A">
      <w:pPr>
        <w:widowControl w:val="0"/>
        <w:autoSpaceDE w:val="0"/>
        <w:autoSpaceDN w:val="0"/>
        <w:adjustRightInd w:val="0"/>
        <w:spacing w:after="160"/>
        <w:ind w:left="640" w:hanging="640"/>
        <w:rPr>
          <w:rFonts w:ascii="Calibri" w:hAnsi="Calibri" w:cs="Calibri"/>
          <w:noProof/>
          <w:sz w:val="22"/>
          <w:szCs w:val="22"/>
        </w:rPr>
      </w:pPr>
      <w:r w:rsidRPr="004B04B1">
        <w:rPr>
          <w:rFonts w:ascii="Calibri" w:hAnsi="Calibri" w:cs="Calibri"/>
          <w:noProof/>
          <w:sz w:val="22"/>
          <w:szCs w:val="22"/>
        </w:rPr>
        <w:t xml:space="preserve">24. </w:t>
      </w:r>
      <w:r w:rsidRPr="004B04B1">
        <w:rPr>
          <w:rFonts w:ascii="Calibri" w:hAnsi="Calibri" w:cs="Calibri"/>
          <w:noProof/>
          <w:sz w:val="22"/>
          <w:szCs w:val="22"/>
        </w:rPr>
        <w:tab/>
        <w:t>Winata C, Moen LF, Østrup O, et al. Normalization of RNA-Sequencing Data from Samples with Varying mRNA Levels. 2014;9(2):1-7. doi:10.1371/journal.pone.0089158</w:t>
      </w:r>
    </w:p>
    <w:p w:rsidR="000341EA" w:rsidRPr="00F62E38" w:rsidRDefault="00D63774">
      <w:pPr>
        <w:pStyle w:val="BodyA"/>
        <w:rPr>
          <w:rFonts w:ascii="Calibri" w:eastAsia="Calibri" w:hAnsi="Calibri" w:cs="Calibri"/>
          <w:sz w:val="24"/>
          <w:szCs w:val="24"/>
        </w:rPr>
      </w:pPr>
      <w:r w:rsidRPr="004B04B1">
        <w:rPr>
          <w:rFonts w:ascii="Calibri" w:eastAsia="Calibri" w:hAnsi="Calibri" w:cs="Calibri"/>
        </w:rPr>
        <w:fldChar w:fldCharType="end"/>
      </w:r>
    </w:p>
    <w:p w:rsidR="000341EA" w:rsidRPr="00B96CC3" w:rsidRDefault="00812FFE">
      <w:pPr>
        <w:pStyle w:val="Body"/>
        <w:rPr>
          <w:rFonts w:ascii="Calibri" w:hAnsi="Calibri" w:cs="Calibri"/>
        </w:rPr>
      </w:pPr>
      <w:r w:rsidRPr="00B96CC3">
        <w:rPr>
          <w:rFonts w:ascii="Calibri" w:eastAsia="Calibri" w:hAnsi="Calibri" w:cs="Calibri"/>
          <w:sz w:val="24"/>
          <w:szCs w:val="24"/>
        </w:rPr>
        <w:br w:type="page"/>
      </w:r>
    </w:p>
    <w:p w:rsidR="000341EA" w:rsidRPr="00B96CC3" w:rsidRDefault="00812FFE">
      <w:pPr>
        <w:pStyle w:val="BodyA"/>
        <w:rPr>
          <w:rFonts w:ascii="Calibri" w:eastAsia="Calibri" w:hAnsi="Calibri" w:cs="Calibri"/>
          <w:b/>
          <w:sz w:val="32"/>
          <w:szCs w:val="32"/>
        </w:rPr>
      </w:pPr>
      <w:r w:rsidRPr="00B96CC3">
        <w:rPr>
          <w:rFonts w:ascii="Calibri" w:eastAsia="Calibri" w:hAnsi="Calibri" w:cs="Calibri"/>
          <w:b/>
          <w:sz w:val="32"/>
          <w:szCs w:val="32"/>
        </w:rPr>
        <w:lastRenderedPageBreak/>
        <w:t>Future planning</w:t>
      </w:r>
    </w:p>
    <w:p w:rsidR="004D0156" w:rsidRDefault="00A525CE" w:rsidP="00A525CE">
      <w:pPr>
        <w:pStyle w:val="BodyA"/>
        <w:rPr>
          <w:rFonts w:ascii="Calibri" w:eastAsia="Calibri" w:hAnsi="Calibri" w:cs="Calibri"/>
          <w:sz w:val="24"/>
          <w:szCs w:val="24"/>
        </w:rPr>
      </w:pPr>
      <w:r>
        <w:rPr>
          <w:rFonts w:ascii="Calibri" w:eastAsia="Calibri" w:hAnsi="Calibri" w:cs="Calibri"/>
          <w:sz w:val="24"/>
          <w:szCs w:val="24"/>
        </w:rPr>
        <w:t xml:space="preserve">During my career re-entry fellowship I </w:t>
      </w:r>
      <w:r w:rsidRPr="00A525CE">
        <w:rPr>
          <w:rFonts w:ascii="Calibri" w:eastAsia="Calibri" w:hAnsi="Calibri" w:cs="Calibri"/>
          <w:sz w:val="24"/>
          <w:szCs w:val="24"/>
        </w:rPr>
        <w:t>would like to be able to immerse myself in the lab</w:t>
      </w:r>
      <w:r>
        <w:rPr>
          <w:rFonts w:ascii="Calibri" w:eastAsia="Calibri" w:hAnsi="Calibri" w:cs="Calibri"/>
          <w:sz w:val="24"/>
          <w:szCs w:val="24"/>
        </w:rPr>
        <w:t>,</w:t>
      </w:r>
      <w:r w:rsidRPr="00A525CE">
        <w:rPr>
          <w:rFonts w:ascii="Calibri" w:eastAsia="Calibri" w:hAnsi="Calibri" w:cs="Calibri"/>
          <w:sz w:val="24"/>
          <w:szCs w:val="24"/>
        </w:rPr>
        <w:t xml:space="preserve"> update</w:t>
      </w:r>
      <w:r>
        <w:rPr>
          <w:rFonts w:ascii="Calibri" w:eastAsia="Calibri" w:hAnsi="Calibri" w:cs="Calibri"/>
          <w:sz w:val="24"/>
          <w:szCs w:val="24"/>
        </w:rPr>
        <w:t xml:space="preserve"> my existing skills and learn</w:t>
      </w:r>
      <w:r w:rsidRPr="00A525CE">
        <w:rPr>
          <w:rFonts w:ascii="Calibri" w:eastAsia="Calibri" w:hAnsi="Calibri" w:cs="Calibri"/>
          <w:sz w:val="24"/>
          <w:szCs w:val="24"/>
        </w:rPr>
        <w:t xml:space="preserve"> new ones </w:t>
      </w:r>
      <w:r>
        <w:rPr>
          <w:rFonts w:ascii="Calibri" w:eastAsia="Calibri" w:hAnsi="Calibri" w:cs="Calibri"/>
          <w:sz w:val="24"/>
          <w:szCs w:val="24"/>
        </w:rPr>
        <w:t xml:space="preserve">within the first year </w:t>
      </w:r>
      <w:r w:rsidRPr="00A525CE">
        <w:rPr>
          <w:rFonts w:ascii="Calibri" w:eastAsia="Calibri" w:hAnsi="Calibri" w:cs="Calibri"/>
          <w:sz w:val="24"/>
          <w:szCs w:val="24"/>
        </w:rPr>
        <w:t xml:space="preserve">to enable me to develop as an expert in my field and build my confidence. </w:t>
      </w:r>
      <w:r>
        <w:rPr>
          <w:rFonts w:ascii="Calibri" w:eastAsia="Calibri" w:hAnsi="Calibri" w:cs="Calibri"/>
          <w:sz w:val="24"/>
          <w:szCs w:val="24"/>
        </w:rPr>
        <w:t>In the subsequent two years</w:t>
      </w:r>
      <w:r w:rsidR="00B64599">
        <w:rPr>
          <w:rFonts w:ascii="Calibri" w:eastAsia="Calibri" w:hAnsi="Calibri" w:cs="Calibri"/>
          <w:sz w:val="24"/>
          <w:szCs w:val="24"/>
        </w:rPr>
        <w:t xml:space="preserve"> I would expect to produce </w:t>
      </w:r>
      <w:r w:rsidR="004D0156">
        <w:rPr>
          <w:rFonts w:ascii="Calibri" w:eastAsia="Calibri" w:hAnsi="Calibri" w:cs="Calibri"/>
          <w:sz w:val="24"/>
          <w:szCs w:val="24"/>
        </w:rPr>
        <w:t>peer reviewed papers to consolidate</w:t>
      </w:r>
      <w:r w:rsidRPr="00A525CE">
        <w:rPr>
          <w:rFonts w:ascii="Calibri" w:eastAsia="Calibri" w:hAnsi="Calibri" w:cs="Calibri"/>
          <w:sz w:val="24"/>
          <w:szCs w:val="24"/>
        </w:rPr>
        <w:t xml:space="preserve"> my cr</w:t>
      </w:r>
      <w:r w:rsidR="00B64599">
        <w:rPr>
          <w:rFonts w:ascii="Calibri" w:eastAsia="Calibri" w:hAnsi="Calibri" w:cs="Calibri"/>
          <w:sz w:val="24"/>
          <w:szCs w:val="24"/>
        </w:rPr>
        <w:t>edentials</w:t>
      </w:r>
      <w:r w:rsidRPr="00A525CE">
        <w:rPr>
          <w:rFonts w:ascii="Calibri" w:eastAsia="Calibri" w:hAnsi="Calibri" w:cs="Calibri"/>
          <w:sz w:val="24"/>
          <w:szCs w:val="24"/>
        </w:rPr>
        <w:t xml:space="preserve"> which I could then use to secure further funding in order to continue my research and develop</w:t>
      </w:r>
      <w:r w:rsidR="00B64599">
        <w:rPr>
          <w:rFonts w:ascii="Calibri" w:eastAsia="Calibri" w:hAnsi="Calibri" w:cs="Calibri"/>
          <w:sz w:val="24"/>
          <w:szCs w:val="24"/>
        </w:rPr>
        <w:t xml:space="preserve"> my independence</w:t>
      </w:r>
      <w:r w:rsidRPr="00A525CE">
        <w:rPr>
          <w:rFonts w:ascii="Calibri" w:eastAsia="Calibri" w:hAnsi="Calibri" w:cs="Calibri"/>
          <w:sz w:val="24"/>
          <w:szCs w:val="24"/>
        </w:rPr>
        <w:t>.</w:t>
      </w:r>
      <w:r>
        <w:rPr>
          <w:rFonts w:ascii="Calibri" w:eastAsia="Calibri" w:hAnsi="Calibri" w:cs="Calibri"/>
          <w:sz w:val="24"/>
          <w:szCs w:val="24"/>
        </w:rPr>
        <w:t xml:space="preserve"> </w:t>
      </w:r>
    </w:p>
    <w:p w:rsidR="004D0156" w:rsidRDefault="004D0156" w:rsidP="00A525CE">
      <w:pPr>
        <w:pStyle w:val="BodyA"/>
        <w:rPr>
          <w:rFonts w:ascii="Calibri" w:eastAsia="Calibri" w:hAnsi="Calibri" w:cs="Calibri"/>
          <w:sz w:val="24"/>
          <w:szCs w:val="24"/>
        </w:rPr>
      </w:pPr>
      <w:r>
        <w:rPr>
          <w:rFonts w:ascii="Calibri" w:eastAsia="Calibri" w:hAnsi="Calibri" w:cs="Calibri"/>
          <w:sz w:val="24"/>
          <w:szCs w:val="24"/>
        </w:rPr>
        <w:t xml:space="preserve">During this time I shall explore my career options through workshops, seminars and training courses where I hope to develop my skills and </w:t>
      </w:r>
      <w:r w:rsidR="0059144A">
        <w:rPr>
          <w:rFonts w:ascii="Calibri" w:eastAsia="Calibri" w:hAnsi="Calibri" w:cs="Calibri"/>
          <w:sz w:val="24"/>
          <w:szCs w:val="24"/>
        </w:rPr>
        <w:t>gain</w:t>
      </w:r>
      <w:r w:rsidR="00B64599">
        <w:rPr>
          <w:rFonts w:ascii="Calibri" w:eastAsia="Calibri" w:hAnsi="Calibri" w:cs="Calibri"/>
          <w:sz w:val="24"/>
          <w:szCs w:val="24"/>
        </w:rPr>
        <w:t xml:space="preserve"> valuable </w:t>
      </w:r>
      <w:r>
        <w:rPr>
          <w:rFonts w:ascii="Calibri" w:eastAsia="Calibri" w:hAnsi="Calibri" w:cs="Calibri"/>
          <w:sz w:val="24"/>
          <w:szCs w:val="24"/>
        </w:rPr>
        <w:t xml:space="preserve">contacts. I will be pro-active to further develop key skills prospective employers look for such as organization, communication, problem solving, administrative, team work and time management. </w:t>
      </w:r>
      <w:r w:rsidR="00E90884">
        <w:rPr>
          <w:rFonts w:ascii="Calibri" w:eastAsia="Calibri" w:hAnsi="Calibri" w:cs="Calibri"/>
          <w:sz w:val="24"/>
          <w:szCs w:val="24"/>
        </w:rPr>
        <w:t xml:space="preserve">I will take full advantage of the </w:t>
      </w:r>
      <w:r w:rsidR="00E90884" w:rsidRPr="00E90884">
        <w:rPr>
          <w:rFonts w:ascii="Calibri" w:eastAsia="Calibri" w:hAnsi="Calibri" w:cs="Calibri"/>
          <w:sz w:val="24"/>
          <w:szCs w:val="24"/>
        </w:rPr>
        <w:t>Institute for Academic Development</w:t>
      </w:r>
      <w:r w:rsidR="00E90884">
        <w:rPr>
          <w:rFonts w:ascii="Calibri" w:eastAsia="Calibri" w:hAnsi="Calibri" w:cs="Calibri"/>
          <w:sz w:val="24"/>
          <w:szCs w:val="24"/>
        </w:rPr>
        <w:t xml:space="preserve"> at Edinburgh University in this respect.</w:t>
      </w:r>
    </w:p>
    <w:p w:rsidR="004D0156" w:rsidRDefault="004D0156" w:rsidP="00A525CE">
      <w:pPr>
        <w:pStyle w:val="BodyA"/>
        <w:rPr>
          <w:rFonts w:ascii="Calibri" w:eastAsia="Calibri" w:hAnsi="Calibri" w:cs="Calibri"/>
          <w:sz w:val="24"/>
          <w:szCs w:val="24"/>
        </w:rPr>
      </w:pPr>
      <w:r>
        <w:rPr>
          <w:rFonts w:ascii="Calibri" w:eastAsia="Calibri" w:hAnsi="Calibri" w:cs="Calibri"/>
          <w:sz w:val="24"/>
          <w:szCs w:val="24"/>
        </w:rPr>
        <w:t>I will use my time during this fellowship wisely to build my CV and boost my research and publication portfolio</w:t>
      </w:r>
      <w:r w:rsidR="00E90884">
        <w:rPr>
          <w:rFonts w:ascii="Calibri" w:eastAsia="Calibri" w:hAnsi="Calibri" w:cs="Calibri"/>
          <w:sz w:val="24"/>
          <w:szCs w:val="24"/>
        </w:rPr>
        <w:t xml:space="preserve"> while working alongside world class researchers at Edinburgh University. It is essential to network and build relationships during this fellowship as part of my career development to find out about potential opportunities and to help me frame the kind of position that would suit me. This fellowship will give me valuable exposure to the unique work environment and culture in research as well as the technical and soft skills needed to succeed in a research driven career.</w:t>
      </w:r>
    </w:p>
    <w:p w:rsidR="00A525CE" w:rsidRDefault="00A525CE" w:rsidP="00A525CE">
      <w:pPr>
        <w:pStyle w:val="BodyA"/>
        <w:rPr>
          <w:rFonts w:ascii="Calibri" w:eastAsia="Calibri" w:hAnsi="Calibri" w:cs="Calibri"/>
          <w:sz w:val="24"/>
          <w:szCs w:val="24"/>
        </w:rPr>
      </w:pPr>
      <w:r w:rsidRPr="00A525CE">
        <w:rPr>
          <w:rFonts w:ascii="Calibri" w:eastAsia="Calibri" w:hAnsi="Calibri" w:cs="Calibri"/>
          <w:sz w:val="24"/>
          <w:szCs w:val="24"/>
        </w:rPr>
        <w:t>By the end of the fellowship I would like to be in a position wher</w:t>
      </w:r>
      <w:r w:rsidR="00B64599">
        <w:rPr>
          <w:rFonts w:ascii="Calibri" w:eastAsia="Calibri" w:hAnsi="Calibri" w:cs="Calibri"/>
          <w:sz w:val="24"/>
          <w:szCs w:val="24"/>
        </w:rPr>
        <w:t>e I can be competitive by securing</w:t>
      </w:r>
      <w:r w:rsidRPr="00A525CE">
        <w:rPr>
          <w:rFonts w:ascii="Calibri" w:eastAsia="Calibri" w:hAnsi="Calibri" w:cs="Calibri"/>
          <w:sz w:val="24"/>
          <w:szCs w:val="24"/>
        </w:rPr>
        <w:t xml:space="preserve"> a good</w:t>
      </w:r>
      <w:r>
        <w:rPr>
          <w:rFonts w:ascii="Calibri" w:eastAsia="Calibri" w:hAnsi="Calibri" w:cs="Calibri"/>
          <w:sz w:val="24"/>
          <w:szCs w:val="24"/>
        </w:rPr>
        <w:t xml:space="preserve"> publication record </w:t>
      </w:r>
      <w:r w:rsidR="00B64599">
        <w:rPr>
          <w:rFonts w:ascii="Calibri" w:eastAsia="Calibri" w:hAnsi="Calibri" w:cs="Calibri"/>
          <w:sz w:val="24"/>
          <w:szCs w:val="24"/>
        </w:rPr>
        <w:t xml:space="preserve">and </w:t>
      </w:r>
      <w:r w:rsidR="0059144A">
        <w:rPr>
          <w:rFonts w:ascii="Calibri" w:eastAsia="Calibri" w:hAnsi="Calibri" w:cs="Calibri"/>
          <w:sz w:val="24"/>
          <w:szCs w:val="24"/>
        </w:rPr>
        <w:t>building</w:t>
      </w:r>
      <w:r w:rsidRPr="00A525CE">
        <w:rPr>
          <w:rFonts w:ascii="Calibri" w:eastAsia="Calibri" w:hAnsi="Calibri" w:cs="Calibri"/>
          <w:sz w:val="24"/>
          <w:szCs w:val="24"/>
        </w:rPr>
        <w:t xml:space="preserve"> up my scientific profile by participating in conferences, attending seminars and conti</w:t>
      </w:r>
      <w:r w:rsidR="00B64599">
        <w:rPr>
          <w:rFonts w:ascii="Calibri" w:eastAsia="Calibri" w:hAnsi="Calibri" w:cs="Calibri"/>
          <w:sz w:val="24"/>
          <w:szCs w:val="24"/>
        </w:rPr>
        <w:t>nuing to educate myself</w:t>
      </w:r>
      <w:r w:rsidRPr="00A525CE">
        <w:rPr>
          <w:rFonts w:ascii="Calibri" w:eastAsia="Calibri" w:hAnsi="Calibri" w:cs="Calibri"/>
          <w:sz w:val="24"/>
          <w:szCs w:val="24"/>
        </w:rPr>
        <w:t>.</w:t>
      </w:r>
      <w:r>
        <w:rPr>
          <w:rFonts w:ascii="Calibri" w:eastAsia="Calibri" w:hAnsi="Calibri" w:cs="Calibri"/>
          <w:sz w:val="24"/>
          <w:szCs w:val="24"/>
        </w:rPr>
        <w:t xml:space="preserve"> </w:t>
      </w:r>
    </w:p>
    <w:p w:rsidR="000341EA" w:rsidRPr="00B96CC3" w:rsidRDefault="00A525CE" w:rsidP="00A525CE">
      <w:pPr>
        <w:pStyle w:val="BodyA"/>
        <w:rPr>
          <w:rFonts w:ascii="Calibri" w:eastAsia="Calibri" w:hAnsi="Calibri" w:cs="Calibri"/>
          <w:sz w:val="24"/>
          <w:szCs w:val="24"/>
        </w:rPr>
      </w:pPr>
      <w:r>
        <w:rPr>
          <w:rFonts w:ascii="Calibri" w:eastAsia="Calibri" w:hAnsi="Calibri" w:cs="Calibri"/>
          <w:sz w:val="24"/>
          <w:szCs w:val="24"/>
        </w:rPr>
        <w:t>Following this fellowship</w:t>
      </w:r>
      <w:r w:rsidRPr="00A525CE">
        <w:rPr>
          <w:rFonts w:ascii="Calibri" w:eastAsia="Calibri" w:hAnsi="Calibri" w:cs="Calibri"/>
          <w:sz w:val="24"/>
          <w:szCs w:val="24"/>
        </w:rPr>
        <w:t xml:space="preserve"> I see myself continuing </w:t>
      </w:r>
      <w:r w:rsidR="0059144A">
        <w:rPr>
          <w:rFonts w:ascii="Calibri" w:eastAsia="Calibri" w:hAnsi="Calibri" w:cs="Calibri"/>
          <w:sz w:val="24"/>
          <w:szCs w:val="24"/>
        </w:rPr>
        <w:t>my career in research</w:t>
      </w:r>
      <w:r w:rsidR="004B04B1">
        <w:rPr>
          <w:rFonts w:ascii="Calibri" w:eastAsia="Calibri" w:hAnsi="Calibri" w:cs="Calibri"/>
          <w:sz w:val="24"/>
          <w:szCs w:val="24"/>
        </w:rPr>
        <w:t>,</w:t>
      </w:r>
      <w:r>
        <w:rPr>
          <w:rFonts w:ascii="Calibri" w:eastAsia="Calibri" w:hAnsi="Calibri" w:cs="Calibri"/>
          <w:sz w:val="24"/>
          <w:szCs w:val="24"/>
        </w:rPr>
        <w:t xml:space="preserve"> with a view</w:t>
      </w:r>
      <w:r w:rsidRPr="00A525CE">
        <w:rPr>
          <w:rFonts w:ascii="Calibri" w:eastAsia="Calibri" w:hAnsi="Calibri" w:cs="Calibri"/>
          <w:sz w:val="24"/>
          <w:szCs w:val="24"/>
        </w:rPr>
        <w:t xml:space="preserve"> to gain</w:t>
      </w:r>
      <w:r>
        <w:rPr>
          <w:rFonts w:ascii="Calibri" w:eastAsia="Calibri" w:hAnsi="Calibri" w:cs="Calibri"/>
          <w:sz w:val="24"/>
          <w:szCs w:val="24"/>
        </w:rPr>
        <w:t>ing</w:t>
      </w:r>
      <w:r w:rsidRPr="00A525CE">
        <w:rPr>
          <w:rFonts w:ascii="Calibri" w:eastAsia="Calibri" w:hAnsi="Calibri" w:cs="Calibri"/>
          <w:sz w:val="24"/>
          <w:szCs w:val="24"/>
        </w:rPr>
        <w:t xml:space="preserve"> a deeper understanding of the grant proposal process </w:t>
      </w:r>
      <w:r w:rsidR="00B64599">
        <w:rPr>
          <w:rFonts w:ascii="Calibri" w:eastAsia="Calibri" w:hAnsi="Calibri" w:cs="Calibri"/>
          <w:sz w:val="24"/>
          <w:szCs w:val="24"/>
        </w:rPr>
        <w:t>and inte</w:t>
      </w:r>
      <w:r w:rsidR="0059144A">
        <w:rPr>
          <w:rFonts w:ascii="Calibri" w:eastAsia="Calibri" w:hAnsi="Calibri" w:cs="Calibri"/>
          <w:sz w:val="24"/>
          <w:szCs w:val="24"/>
        </w:rPr>
        <w:t xml:space="preserve">nd to apply for future funding to continue my research in </w:t>
      </w:r>
      <w:r w:rsidR="0059144A" w:rsidRPr="0059144A">
        <w:rPr>
          <w:rFonts w:ascii="Calibri" w:eastAsia="Calibri" w:hAnsi="Calibri" w:cs="Calibri"/>
          <w:i/>
          <w:sz w:val="24"/>
          <w:szCs w:val="24"/>
        </w:rPr>
        <w:t>C. neoformans</w:t>
      </w:r>
      <w:r w:rsidR="0059144A">
        <w:rPr>
          <w:rFonts w:ascii="Calibri" w:eastAsia="Calibri" w:hAnsi="Calibri" w:cs="Calibri"/>
          <w:sz w:val="24"/>
          <w:szCs w:val="24"/>
        </w:rPr>
        <w:t xml:space="preserve"> and</w:t>
      </w:r>
      <w:r w:rsidRPr="00A525CE">
        <w:rPr>
          <w:rFonts w:ascii="Calibri" w:eastAsia="Calibri" w:hAnsi="Calibri" w:cs="Calibri"/>
          <w:sz w:val="24"/>
          <w:szCs w:val="24"/>
        </w:rPr>
        <w:t xml:space="preserve"> develop my</w:t>
      </w:r>
      <w:r>
        <w:rPr>
          <w:rFonts w:ascii="Calibri" w:eastAsia="Calibri" w:hAnsi="Calibri" w:cs="Calibri"/>
          <w:sz w:val="24"/>
          <w:szCs w:val="24"/>
        </w:rPr>
        <w:t xml:space="preserve"> research independence</w:t>
      </w:r>
      <w:r w:rsidR="004B04B1">
        <w:rPr>
          <w:rFonts w:ascii="Calibri" w:eastAsia="Calibri" w:hAnsi="Calibri" w:cs="Calibri"/>
          <w:sz w:val="24"/>
          <w:szCs w:val="24"/>
        </w:rPr>
        <w:t xml:space="preserve">. </w:t>
      </w:r>
      <w:r w:rsidR="00B64599">
        <w:rPr>
          <w:rFonts w:ascii="Calibri" w:eastAsia="Calibri" w:hAnsi="Calibri" w:cs="Calibri"/>
          <w:sz w:val="24"/>
          <w:szCs w:val="24"/>
        </w:rPr>
        <w:t xml:space="preserve"> I will remain open to positions in academia, industry and biotechnology, however, my long term goal would </w:t>
      </w:r>
      <w:r w:rsidR="004B04B1">
        <w:rPr>
          <w:rFonts w:ascii="Calibri" w:eastAsia="Calibri" w:hAnsi="Calibri" w:cs="Calibri"/>
          <w:sz w:val="24"/>
          <w:szCs w:val="24"/>
        </w:rPr>
        <w:t>be to remain in</w:t>
      </w:r>
      <w:r w:rsidR="00B64599">
        <w:rPr>
          <w:rFonts w:ascii="Calibri" w:eastAsia="Calibri" w:hAnsi="Calibri" w:cs="Calibri"/>
          <w:sz w:val="24"/>
          <w:szCs w:val="24"/>
        </w:rPr>
        <w:t xml:space="preserve"> research. I believe my love for research, self-motivation and hunger for knowledge will really help me in this aim.</w:t>
      </w:r>
    </w:p>
    <w:p w:rsidR="000341EA" w:rsidRPr="00B96CC3" w:rsidRDefault="000341EA">
      <w:pPr>
        <w:pStyle w:val="BodyA"/>
        <w:rPr>
          <w:rFonts w:ascii="Calibri" w:eastAsia="Calibri" w:hAnsi="Calibri" w:cs="Calibri"/>
          <w:sz w:val="24"/>
          <w:szCs w:val="24"/>
        </w:rPr>
      </w:pPr>
    </w:p>
    <w:p w:rsidR="000341EA" w:rsidRPr="00B96CC3" w:rsidRDefault="000341EA">
      <w:pPr>
        <w:pStyle w:val="BodyA"/>
        <w:rPr>
          <w:rFonts w:ascii="Calibri" w:eastAsia="Calibri" w:hAnsi="Calibri" w:cs="Calibri"/>
          <w:sz w:val="24"/>
          <w:szCs w:val="24"/>
        </w:rPr>
      </w:pPr>
    </w:p>
    <w:p w:rsidR="006F1276" w:rsidRDefault="006F1276">
      <w:pPr>
        <w:pStyle w:val="BodyA"/>
        <w:rPr>
          <w:rFonts w:ascii="Calibri" w:hAnsi="Calibri" w:cs="Calibri"/>
        </w:rPr>
      </w:pPr>
    </w:p>
    <w:p w:rsidR="006F1276" w:rsidRDefault="006F1276">
      <w:pPr>
        <w:pStyle w:val="BodyA"/>
        <w:rPr>
          <w:rFonts w:ascii="Calibri" w:hAnsi="Calibri" w:cs="Calibri"/>
        </w:rPr>
      </w:pPr>
    </w:p>
    <w:p w:rsidR="00F13CA2" w:rsidRDefault="00F13CA2">
      <w:pPr>
        <w:pStyle w:val="BodyA"/>
        <w:rPr>
          <w:rFonts w:ascii="Calibri" w:hAnsi="Calibri" w:cs="Calibri"/>
        </w:rPr>
      </w:pPr>
    </w:p>
    <w:p w:rsidR="00AB4F30" w:rsidRDefault="00B15498">
      <w:pPr>
        <w:pStyle w:val="BodyA"/>
        <w:rPr>
          <w:rFonts w:ascii="Calibri" w:hAnsi="Calibri" w:cs="Calibri"/>
        </w:rPr>
      </w:pPr>
      <w:r w:rsidRPr="00B96CC3">
        <w:rPr>
          <w:rFonts w:ascii="Calibri" w:hAnsi="Calibri" w:cs="Calibri"/>
        </w:rPr>
        <w:t xml:space="preserve">Word count: </w:t>
      </w:r>
      <w:r w:rsidR="004B04B1">
        <w:rPr>
          <w:rFonts w:ascii="Calibri" w:hAnsi="Calibri" w:cs="Calibri"/>
        </w:rPr>
        <w:t>370</w:t>
      </w:r>
      <w:r w:rsidRPr="00B96CC3">
        <w:rPr>
          <w:rFonts w:ascii="Calibri" w:hAnsi="Calibri" w:cs="Calibri"/>
        </w:rPr>
        <w:t xml:space="preserve"> (400)</w:t>
      </w:r>
    </w:p>
    <w:p w:rsidR="00AB4F30" w:rsidRDefault="00AB4F30">
      <w:pPr>
        <w:rPr>
          <w:rFonts w:ascii="Calibri" w:hAnsi="Calibri" w:cs="Calibri"/>
          <w:color w:val="000000"/>
          <w:sz w:val="22"/>
          <w:szCs w:val="22"/>
          <w:u w:color="000000"/>
          <w:lang w:eastAsia="en-GB"/>
        </w:rPr>
      </w:pPr>
      <w:r>
        <w:rPr>
          <w:rFonts w:ascii="Calibri" w:hAnsi="Calibri" w:cs="Calibri"/>
        </w:rPr>
        <w:br w:type="page"/>
      </w:r>
    </w:p>
    <w:p w:rsidR="00AB4F30" w:rsidRDefault="00AB4F30" w:rsidP="00AB4F30">
      <w:pPr>
        <w:pStyle w:val="BodyA"/>
        <w:rPr>
          <w:rFonts w:ascii="Calibri" w:hAnsi="Calibri" w:cs="Calibri"/>
          <w:sz w:val="24"/>
          <w:szCs w:val="24"/>
        </w:rPr>
      </w:pPr>
      <w:r w:rsidRPr="00AB4F30">
        <w:rPr>
          <w:rFonts w:ascii="Calibri" w:hAnsi="Calibri" w:cs="Calibri"/>
          <w:noProof/>
          <w:sz w:val="32"/>
          <w:szCs w:val="32"/>
          <w:lang w:val="en-GB"/>
        </w:rPr>
        <w:lastRenderedPageBreak/>
        <w:drawing>
          <wp:anchor distT="0" distB="0" distL="114300" distR="114300" simplePos="0" relativeHeight="251660288" behindDoc="1" locked="0" layoutInCell="1" allowOverlap="1">
            <wp:simplePos x="0" y="0"/>
            <wp:positionH relativeFrom="column">
              <wp:posOffset>51753</wp:posOffset>
            </wp:positionH>
            <wp:positionV relativeFrom="paragraph">
              <wp:posOffset>421323</wp:posOffset>
            </wp:positionV>
            <wp:extent cx="6105525" cy="8445909"/>
            <wp:effectExtent l="0" t="0" r="0" b="0"/>
            <wp:wrapTight wrapText="bothSides">
              <wp:wrapPolygon edited="0">
                <wp:start x="0" y="0"/>
                <wp:lineTo x="0" y="21535"/>
                <wp:lineTo x="21499" y="21535"/>
                <wp:lineTo x="2149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84459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AB4F30">
        <w:rPr>
          <w:rFonts w:ascii="Calibri" w:hAnsi="Calibri" w:cs="Calibri"/>
          <w:b/>
          <w:sz w:val="32"/>
          <w:szCs w:val="32"/>
        </w:rPr>
        <w:t>Appendix 1</w:t>
      </w:r>
      <w:r>
        <w:rPr>
          <w:rFonts w:ascii="Calibri" w:hAnsi="Calibri" w:cs="Calibri"/>
          <w:b/>
          <w:sz w:val="32"/>
          <w:szCs w:val="32"/>
        </w:rPr>
        <w:t xml:space="preserve">: </w:t>
      </w:r>
      <w:r>
        <w:rPr>
          <w:rFonts w:ascii="Calibri" w:hAnsi="Calibri" w:cs="Calibri"/>
          <w:sz w:val="24"/>
          <w:szCs w:val="24"/>
        </w:rPr>
        <w:t>C</w:t>
      </w:r>
      <w:r w:rsidRPr="00AB4F30">
        <w:rPr>
          <w:rFonts w:ascii="Calibri" w:hAnsi="Calibri" w:cs="Calibri"/>
          <w:sz w:val="24"/>
          <w:szCs w:val="24"/>
        </w:rPr>
        <w:t>ontributions of host factors and temperature in shaping</w:t>
      </w:r>
      <w:r w:rsidRPr="00AB4F30">
        <w:rPr>
          <w:rFonts w:ascii="Calibri" w:hAnsi="Calibri" w:cs="Calibri"/>
          <w:b/>
          <w:sz w:val="32"/>
          <w:szCs w:val="32"/>
        </w:rPr>
        <w:t xml:space="preserve"> </w:t>
      </w:r>
      <w:r w:rsidRPr="00AB4F30">
        <w:rPr>
          <w:rFonts w:ascii="Calibri" w:hAnsi="Calibri" w:cs="Calibri"/>
          <w:sz w:val="24"/>
          <w:szCs w:val="24"/>
        </w:rPr>
        <w:t>initial growth</w:t>
      </w:r>
      <w:r>
        <w:rPr>
          <w:rFonts w:ascii="Calibri" w:hAnsi="Calibri" w:cs="Calibri"/>
          <w:sz w:val="24"/>
          <w:szCs w:val="24"/>
        </w:rPr>
        <w:t>.</w:t>
      </w:r>
    </w:p>
    <w:p w:rsidR="0059144A" w:rsidRDefault="0059144A" w:rsidP="00AB4F30">
      <w:pPr>
        <w:pStyle w:val="BodyA"/>
        <w:rPr>
          <w:rFonts w:ascii="Calibri" w:hAnsi="Calibri" w:cs="Calibri"/>
          <w:sz w:val="24"/>
          <w:szCs w:val="24"/>
        </w:rPr>
      </w:pPr>
      <w:r>
        <w:rPr>
          <w:rFonts w:ascii="Calibri" w:hAnsi="Calibri" w:cs="Calibri"/>
        </w:rPr>
        <w:br w:type="page"/>
      </w:r>
      <w:r w:rsidR="00AB4F30" w:rsidRPr="00AB4F30">
        <w:rPr>
          <w:rFonts w:ascii="Calibri" w:hAnsi="Calibri" w:cs="Calibri"/>
          <w:b/>
          <w:sz w:val="32"/>
          <w:szCs w:val="32"/>
        </w:rPr>
        <w:lastRenderedPageBreak/>
        <w:t>A</w:t>
      </w:r>
      <w:r w:rsidR="00AB4F30">
        <w:rPr>
          <w:rFonts w:ascii="Calibri" w:hAnsi="Calibri" w:cs="Calibri"/>
          <w:b/>
          <w:sz w:val="32"/>
          <w:szCs w:val="32"/>
        </w:rPr>
        <w:t>ppendix 2:</w:t>
      </w:r>
      <w:r w:rsidR="00001973">
        <w:rPr>
          <w:rFonts w:ascii="Calibri" w:hAnsi="Calibri" w:cs="Calibri"/>
          <w:b/>
          <w:sz w:val="32"/>
          <w:szCs w:val="32"/>
        </w:rPr>
        <w:t xml:space="preserve"> </w:t>
      </w:r>
      <w:r w:rsidR="009D0AC4" w:rsidRPr="00605C6E">
        <w:rPr>
          <w:rFonts w:ascii="Calibri" w:hAnsi="Calibri" w:cs="Calibri"/>
          <w:sz w:val="24"/>
          <w:szCs w:val="24"/>
        </w:rPr>
        <w:t>Aim 1 experimental plan</w:t>
      </w:r>
      <w:r w:rsidR="009D0AC4">
        <w:rPr>
          <w:rFonts w:ascii="Calibri" w:hAnsi="Calibri" w:cs="Calibri"/>
          <w:sz w:val="24"/>
          <w:szCs w:val="24"/>
        </w:rPr>
        <w:t>: Dissection of serum components</w:t>
      </w:r>
    </w:p>
    <w:p w:rsidR="00AB4F30" w:rsidRDefault="00AB4F30" w:rsidP="00AB4F30">
      <w:pPr>
        <w:pStyle w:val="BodyA"/>
        <w:rPr>
          <w:rFonts w:ascii="Calibri" w:hAnsi="Calibri" w:cs="Calibri"/>
          <w:sz w:val="24"/>
          <w:szCs w:val="24"/>
        </w:rPr>
      </w:pPr>
    </w:p>
    <w:tbl>
      <w:tblPr>
        <w:tblStyle w:val="MediumShading2-Accent5"/>
        <w:tblW w:w="0" w:type="auto"/>
        <w:tblLook w:val="04A0" w:firstRow="1" w:lastRow="0" w:firstColumn="1" w:lastColumn="0" w:noHBand="0" w:noVBand="1"/>
      </w:tblPr>
      <w:tblGrid>
        <w:gridCol w:w="1395"/>
        <w:gridCol w:w="1513"/>
        <w:gridCol w:w="1322"/>
        <w:gridCol w:w="1458"/>
        <w:gridCol w:w="1228"/>
        <w:gridCol w:w="1353"/>
        <w:gridCol w:w="1353"/>
      </w:tblGrid>
      <w:tr w:rsidR="004D5140" w:rsidTr="0000197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95" w:type="dxa"/>
            <w:shd w:val="clear" w:color="auto" w:fill="D9D9D9" w:themeFill="background1" w:themeFillShade="D9"/>
          </w:tcPr>
          <w:p w:rsidR="004D5140" w:rsidRDefault="004D5140" w:rsidP="00AB4F30">
            <w:pPr>
              <w:pStyle w:val="BodyA"/>
              <w:rPr>
                <w:rFonts w:ascii="Calibri" w:hAnsi="Calibri" w:cs="Calibri"/>
                <w:sz w:val="24"/>
                <w:szCs w:val="24"/>
              </w:rPr>
            </w:pPr>
            <w:r>
              <w:rPr>
                <w:rFonts w:ascii="Calibri" w:hAnsi="Calibri" w:cs="Calibri"/>
                <w:sz w:val="24"/>
                <w:szCs w:val="24"/>
              </w:rPr>
              <w:t>Media</w:t>
            </w:r>
          </w:p>
        </w:tc>
        <w:tc>
          <w:tcPr>
            <w:tcW w:w="1513" w:type="dxa"/>
            <w:shd w:val="clear" w:color="auto" w:fill="D9D9D9" w:themeFill="background1" w:themeFillShade="D9"/>
          </w:tcPr>
          <w:p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No Serum</w:t>
            </w:r>
          </w:p>
          <w:p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(Serum starvation)</w:t>
            </w:r>
          </w:p>
        </w:tc>
        <w:tc>
          <w:tcPr>
            <w:tcW w:w="1322" w:type="dxa"/>
            <w:shd w:val="clear" w:color="auto" w:fill="D9D9D9" w:themeFill="background1" w:themeFillShade="D9"/>
          </w:tcPr>
          <w:p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FBS</w:t>
            </w:r>
          </w:p>
        </w:tc>
        <w:tc>
          <w:tcPr>
            <w:tcW w:w="1458" w:type="dxa"/>
            <w:shd w:val="clear" w:color="auto" w:fill="D9D9D9" w:themeFill="background1" w:themeFillShade="D9"/>
          </w:tcPr>
          <w:p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Charcoal stripped FBS</w:t>
            </w:r>
          </w:p>
        </w:tc>
        <w:tc>
          <w:tcPr>
            <w:tcW w:w="1228" w:type="dxa"/>
            <w:shd w:val="clear" w:color="auto" w:fill="D9D9D9" w:themeFill="background1" w:themeFillShade="D9"/>
          </w:tcPr>
          <w:p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Albumin</w:t>
            </w:r>
          </w:p>
        </w:tc>
        <w:tc>
          <w:tcPr>
            <w:tcW w:w="1353" w:type="dxa"/>
            <w:shd w:val="clear" w:color="auto" w:fill="D9D9D9" w:themeFill="background1" w:themeFillShade="D9"/>
          </w:tcPr>
          <w:p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25⁰C</w:t>
            </w:r>
          </w:p>
        </w:tc>
        <w:tc>
          <w:tcPr>
            <w:tcW w:w="1353" w:type="dxa"/>
            <w:shd w:val="clear" w:color="auto" w:fill="D9D9D9" w:themeFill="background1" w:themeFillShade="D9"/>
          </w:tcPr>
          <w:p w:rsidR="004D5140" w:rsidRDefault="004D5140"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37⁰C</w:t>
            </w:r>
          </w:p>
        </w:tc>
      </w:tr>
      <w:tr w:rsidR="004D5140"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rsidR="004D5140" w:rsidRDefault="004D5140" w:rsidP="00AB4F30">
            <w:pPr>
              <w:pStyle w:val="BodyA"/>
              <w:rPr>
                <w:rFonts w:ascii="Calibri" w:hAnsi="Calibri" w:cs="Calibri"/>
                <w:sz w:val="24"/>
                <w:szCs w:val="24"/>
              </w:rPr>
            </w:pPr>
            <w:r>
              <w:rPr>
                <w:rFonts w:ascii="Calibri" w:hAnsi="Calibri" w:cs="Calibri"/>
                <w:sz w:val="24"/>
                <w:szCs w:val="24"/>
              </w:rPr>
              <w:t>RPMI-1640</w:t>
            </w:r>
          </w:p>
        </w:tc>
        <w:tc>
          <w:tcPr>
            <w:tcW w:w="1513"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22"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228"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shd w:val="clear" w:color="auto" w:fill="F2F2F2" w:themeFill="background1" w:themeFillShade="F2"/>
          </w:tcPr>
          <w:p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rsidR="004D5140" w:rsidRDefault="004D5140" w:rsidP="00AB4F30">
            <w:pPr>
              <w:pStyle w:val="BodyA"/>
              <w:rPr>
                <w:rFonts w:ascii="Calibri" w:hAnsi="Calibri" w:cs="Calibri"/>
                <w:sz w:val="24"/>
                <w:szCs w:val="24"/>
              </w:rPr>
            </w:pPr>
          </w:p>
        </w:tc>
        <w:tc>
          <w:tcPr>
            <w:tcW w:w="1513" w:type="dxa"/>
          </w:tcPr>
          <w:p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458" w:type="dxa"/>
          </w:tcPr>
          <w:p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53" w:type="dxa"/>
          </w:tcPr>
          <w:p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rsidR="004D5140" w:rsidRDefault="004D5140" w:rsidP="00AB4F30">
            <w:pPr>
              <w:pStyle w:val="BodyA"/>
              <w:rPr>
                <w:rFonts w:ascii="Calibri" w:hAnsi="Calibri" w:cs="Calibri"/>
                <w:sz w:val="24"/>
                <w:szCs w:val="24"/>
              </w:rPr>
            </w:pPr>
          </w:p>
        </w:tc>
        <w:tc>
          <w:tcPr>
            <w:tcW w:w="1513"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22"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228"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shd w:val="clear" w:color="auto" w:fill="F2F2F2" w:themeFill="background1" w:themeFillShade="F2"/>
          </w:tcPr>
          <w:p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t>TBD</w:t>
            </w:r>
          </w:p>
        </w:tc>
      </w:tr>
      <w:tr w:rsidR="00001973"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rsidR="00001973" w:rsidRDefault="00001973" w:rsidP="00AB4F30">
            <w:pPr>
              <w:pStyle w:val="BodyA"/>
              <w:rPr>
                <w:rFonts w:ascii="Calibri" w:hAnsi="Calibri" w:cs="Calibri"/>
                <w:sz w:val="24"/>
                <w:szCs w:val="24"/>
              </w:rPr>
            </w:pPr>
          </w:p>
        </w:tc>
        <w:tc>
          <w:tcPr>
            <w:tcW w:w="1513"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458"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r>
      <w:tr w:rsidR="004D5140"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rsidR="004D5140" w:rsidRDefault="004D5140" w:rsidP="004D5140">
            <w:pPr>
              <w:pStyle w:val="BodyA"/>
              <w:jc w:val="center"/>
              <w:rPr>
                <w:rFonts w:ascii="Calibri" w:hAnsi="Calibri" w:cs="Calibri"/>
                <w:sz w:val="24"/>
                <w:szCs w:val="24"/>
              </w:rPr>
            </w:pPr>
            <w:r>
              <w:rPr>
                <w:rFonts w:ascii="Calibri" w:hAnsi="Calibri" w:cs="Calibri"/>
                <w:sz w:val="24"/>
                <w:szCs w:val="24"/>
              </w:rPr>
              <w:t>YPD</w:t>
            </w:r>
          </w:p>
        </w:tc>
        <w:tc>
          <w:tcPr>
            <w:tcW w:w="1513" w:type="dxa"/>
            <w:shd w:val="clear" w:color="auto" w:fill="F2F2F2" w:themeFill="background1" w:themeFillShade="F2"/>
          </w:tcPr>
          <w:p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22"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228"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shd w:val="clear" w:color="auto" w:fill="F2F2F2" w:themeFill="background1" w:themeFillShade="F2"/>
          </w:tcPr>
          <w:p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001973"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rsidR="00001973" w:rsidRDefault="00001973" w:rsidP="004D5140">
            <w:pPr>
              <w:pStyle w:val="BodyA"/>
              <w:jc w:val="center"/>
              <w:rPr>
                <w:rFonts w:ascii="Calibri" w:hAnsi="Calibri" w:cs="Calibri"/>
                <w:sz w:val="24"/>
                <w:szCs w:val="24"/>
              </w:rPr>
            </w:pPr>
          </w:p>
        </w:tc>
        <w:tc>
          <w:tcPr>
            <w:tcW w:w="1513"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458"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53"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rsidR="00001973"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r>
      <w:tr w:rsidR="004D5140" w:rsidTr="000019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rsidR="004D5140" w:rsidRDefault="004D5140" w:rsidP="00AB4F30">
            <w:pPr>
              <w:pStyle w:val="BodyA"/>
              <w:rPr>
                <w:rFonts w:ascii="Calibri" w:hAnsi="Calibri" w:cs="Calibri"/>
                <w:sz w:val="24"/>
                <w:szCs w:val="24"/>
              </w:rPr>
            </w:pPr>
          </w:p>
        </w:tc>
        <w:tc>
          <w:tcPr>
            <w:tcW w:w="1513"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22"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458" w:type="dxa"/>
            <w:shd w:val="clear" w:color="auto" w:fill="F2F2F2" w:themeFill="background1" w:themeFillShade="F2"/>
          </w:tcPr>
          <w:p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228" w:type="dxa"/>
            <w:shd w:val="clear" w:color="auto" w:fill="F2F2F2" w:themeFill="background1" w:themeFillShade="F2"/>
          </w:tcPr>
          <w:p w:rsidR="004D5140" w:rsidRDefault="004D5140"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p>
        </w:tc>
        <w:tc>
          <w:tcPr>
            <w:tcW w:w="1353" w:type="dxa"/>
            <w:shd w:val="clear" w:color="auto" w:fill="F2F2F2" w:themeFill="background1" w:themeFillShade="F2"/>
          </w:tcPr>
          <w:p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shd w:val="clear" w:color="auto" w:fill="F2F2F2" w:themeFill="background1" w:themeFillShade="F2"/>
          </w:tcPr>
          <w:p w:rsidR="004D5140" w:rsidRDefault="00001973"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t>TBD</w:t>
            </w:r>
          </w:p>
        </w:tc>
      </w:tr>
      <w:tr w:rsidR="004D5140" w:rsidTr="00001973">
        <w:tc>
          <w:tcPr>
            <w:cnfStyle w:val="001000000000" w:firstRow="0" w:lastRow="0" w:firstColumn="1" w:lastColumn="0" w:oddVBand="0" w:evenVBand="0" w:oddHBand="0" w:evenHBand="0" w:firstRowFirstColumn="0" w:firstRowLastColumn="0" w:lastRowFirstColumn="0" w:lastRowLastColumn="0"/>
            <w:tcW w:w="1395" w:type="dxa"/>
            <w:shd w:val="clear" w:color="auto" w:fill="D9D9D9" w:themeFill="background1" w:themeFillShade="D9"/>
          </w:tcPr>
          <w:p w:rsidR="004D5140" w:rsidRDefault="004D5140" w:rsidP="00AB4F30">
            <w:pPr>
              <w:pStyle w:val="BodyA"/>
              <w:rPr>
                <w:rFonts w:ascii="Calibri" w:hAnsi="Calibri" w:cs="Calibri"/>
                <w:sz w:val="24"/>
                <w:szCs w:val="24"/>
              </w:rPr>
            </w:pPr>
          </w:p>
        </w:tc>
        <w:tc>
          <w:tcPr>
            <w:tcW w:w="1513" w:type="dxa"/>
          </w:tcPr>
          <w:p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322" w:type="dxa"/>
          </w:tcPr>
          <w:p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458" w:type="dxa"/>
          </w:tcPr>
          <w:p w:rsidR="004D5140" w:rsidRDefault="004D5140"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p>
        </w:tc>
        <w:tc>
          <w:tcPr>
            <w:tcW w:w="1228" w:type="dxa"/>
          </w:tcPr>
          <w:p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hint="eastAsia"/>
                <w:sz w:val="24"/>
                <w:szCs w:val="24"/>
              </w:rPr>
              <w:sym w:font="Wingdings" w:char="F0FC"/>
            </w:r>
          </w:p>
        </w:tc>
        <w:tc>
          <w:tcPr>
            <w:tcW w:w="1353" w:type="dxa"/>
          </w:tcPr>
          <w:p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1353" w:type="dxa"/>
          </w:tcPr>
          <w:p w:rsidR="004D5140" w:rsidRDefault="00001973" w:rsidP="00AB4F30">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r>
    </w:tbl>
    <w:p w:rsidR="00AB4F30" w:rsidRDefault="00AB4F30" w:rsidP="00AB4F30">
      <w:pPr>
        <w:pStyle w:val="BodyA"/>
        <w:rPr>
          <w:rFonts w:ascii="Calibri" w:hAnsi="Calibri" w:cs="Calibri"/>
          <w:sz w:val="24"/>
          <w:szCs w:val="24"/>
        </w:rPr>
      </w:pPr>
    </w:p>
    <w:p w:rsidR="00001973" w:rsidRDefault="00001973" w:rsidP="00AB4F30">
      <w:pPr>
        <w:pStyle w:val="BodyA"/>
        <w:rPr>
          <w:rFonts w:ascii="Calibri" w:hAnsi="Calibri" w:cs="Calibri"/>
          <w:sz w:val="24"/>
          <w:szCs w:val="24"/>
        </w:rPr>
      </w:pPr>
    </w:p>
    <w:p w:rsidR="004B04B1" w:rsidRDefault="004B04B1" w:rsidP="00AB4F30">
      <w:pPr>
        <w:pStyle w:val="BodyA"/>
        <w:rPr>
          <w:rFonts w:ascii="Calibri" w:hAnsi="Calibri" w:cs="Calibri"/>
          <w:b/>
          <w:sz w:val="32"/>
          <w:szCs w:val="32"/>
        </w:rPr>
      </w:pPr>
    </w:p>
    <w:p w:rsidR="004B04B1" w:rsidRDefault="004B04B1" w:rsidP="00AB4F30">
      <w:pPr>
        <w:pStyle w:val="BodyA"/>
        <w:rPr>
          <w:rFonts w:ascii="Calibri" w:hAnsi="Calibri" w:cs="Calibri"/>
          <w:b/>
          <w:sz w:val="32"/>
          <w:szCs w:val="32"/>
        </w:rPr>
      </w:pPr>
    </w:p>
    <w:p w:rsidR="00001973" w:rsidRDefault="00001973" w:rsidP="00AB4F30">
      <w:pPr>
        <w:pStyle w:val="BodyA"/>
        <w:rPr>
          <w:rFonts w:ascii="Calibri" w:hAnsi="Calibri" w:cs="Calibri"/>
          <w:sz w:val="24"/>
          <w:szCs w:val="24"/>
        </w:rPr>
      </w:pPr>
      <w:r w:rsidRPr="00AB4F30">
        <w:rPr>
          <w:rFonts w:ascii="Calibri" w:hAnsi="Calibri" w:cs="Calibri"/>
          <w:b/>
          <w:sz w:val="32"/>
          <w:szCs w:val="32"/>
        </w:rPr>
        <w:t>A</w:t>
      </w:r>
      <w:r>
        <w:rPr>
          <w:rFonts w:ascii="Calibri" w:hAnsi="Calibri" w:cs="Calibri"/>
          <w:b/>
          <w:sz w:val="32"/>
          <w:szCs w:val="32"/>
        </w:rPr>
        <w:t xml:space="preserve">ppendix 3: </w:t>
      </w:r>
      <w:r w:rsidR="00FA241A" w:rsidRPr="00605C6E">
        <w:rPr>
          <w:rFonts w:ascii="Calibri" w:hAnsi="Calibri" w:cs="Calibri"/>
          <w:sz w:val="24"/>
          <w:szCs w:val="24"/>
        </w:rPr>
        <w:t>Aim 1 experimental plan</w:t>
      </w:r>
      <w:r w:rsidR="00FA241A">
        <w:rPr>
          <w:rFonts w:ascii="Calibri" w:hAnsi="Calibri" w:cs="Calibri"/>
          <w:sz w:val="24"/>
          <w:szCs w:val="24"/>
        </w:rPr>
        <w:t xml:space="preserve">: Dissection </w:t>
      </w:r>
      <w:r w:rsidRPr="00605C6E">
        <w:rPr>
          <w:rFonts w:ascii="Calibri" w:hAnsi="Calibri" w:cs="Calibri"/>
          <w:sz w:val="24"/>
          <w:szCs w:val="24"/>
        </w:rPr>
        <w:t>of RPMI-1640</w:t>
      </w:r>
    </w:p>
    <w:tbl>
      <w:tblPr>
        <w:tblStyle w:val="MediumShading2-Accent5"/>
        <w:tblW w:w="0" w:type="auto"/>
        <w:tblLook w:val="04A0" w:firstRow="1" w:lastRow="0" w:firstColumn="1" w:lastColumn="0" w:noHBand="0" w:noVBand="1"/>
      </w:tblPr>
      <w:tblGrid>
        <w:gridCol w:w="3207"/>
        <w:gridCol w:w="3207"/>
        <w:gridCol w:w="3208"/>
      </w:tblGrid>
      <w:tr w:rsidR="009D0AC4" w:rsidTr="009D0AC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7" w:type="dxa"/>
            <w:shd w:val="clear" w:color="auto" w:fill="D9D9D9" w:themeFill="background1" w:themeFillShade="D9"/>
          </w:tcPr>
          <w:p w:rsidR="009D0AC4" w:rsidRDefault="009D0AC4" w:rsidP="009D0AC4">
            <w:pPr>
              <w:pStyle w:val="BodyA"/>
              <w:jc w:val="center"/>
              <w:rPr>
                <w:rFonts w:ascii="Calibri" w:hAnsi="Calibri" w:cs="Calibri"/>
                <w:sz w:val="24"/>
                <w:szCs w:val="24"/>
              </w:rPr>
            </w:pPr>
            <w:r>
              <w:rPr>
                <w:rFonts w:ascii="Calibri" w:hAnsi="Calibri" w:cs="Calibri"/>
                <w:sz w:val="24"/>
                <w:szCs w:val="24"/>
              </w:rPr>
              <w:t>Media</w:t>
            </w:r>
          </w:p>
        </w:tc>
        <w:tc>
          <w:tcPr>
            <w:tcW w:w="3207" w:type="dxa"/>
            <w:shd w:val="clear" w:color="auto" w:fill="D9D9D9" w:themeFill="background1" w:themeFillShade="D9"/>
          </w:tcPr>
          <w:p w:rsidR="009D0AC4" w:rsidRDefault="009D0AC4" w:rsidP="009D0AC4">
            <w:pPr>
              <w:pStyle w:val="BodyA"/>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25⁰C</w:t>
            </w:r>
          </w:p>
        </w:tc>
        <w:tc>
          <w:tcPr>
            <w:tcW w:w="3208" w:type="dxa"/>
            <w:shd w:val="clear" w:color="auto" w:fill="D9D9D9" w:themeFill="background1" w:themeFillShade="D9"/>
          </w:tcPr>
          <w:p w:rsidR="009D0AC4" w:rsidRDefault="009D0AC4" w:rsidP="009D0AC4">
            <w:pPr>
              <w:pStyle w:val="BodyA"/>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37⁰C</w:t>
            </w:r>
          </w:p>
        </w:tc>
      </w:tr>
      <w:tr w:rsidR="009D0AC4" w:rsidTr="009D0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shd w:val="clear" w:color="auto" w:fill="D9D9D9" w:themeFill="background1" w:themeFillShade="D9"/>
          </w:tcPr>
          <w:p w:rsidR="009D0AC4" w:rsidRDefault="009D0AC4" w:rsidP="009D0AC4">
            <w:pPr>
              <w:pStyle w:val="BodyA"/>
              <w:jc w:val="center"/>
              <w:rPr>
                <w:rFonts w:ascii="Calibri" w:hAnsi="Calibri" w:cs="Calibri"/>
                <w:sz w:val="24"/>
                <w:szCs w:val="24"/>
              </w:rPr>
            </w:pPr>
            <w:r>
              <w:rPr>
                <w:rFonts w:ascii="Calibri" w:hAnsi="Calibri" w:cs="Calibri"/>
                <w:sz w:val="24"/>
                <w:szCs w:val="24"/>
              </w:rPr>
              <w:t>RPMI-1640</w:t>
            </w:r>
          </w:p>
        </w:tc>
        <w:tc>
          <w:tcPr>
            <w:tcW w:w="3207" w:type="dxa"/>
            <w:shd w:val="clear" w:color="auto" w:fill="F2F2F2" w:themeFill="background1" w:themeFillShade="F2"/>
          </w:tcPr>
          <w:p w:rsidR="009D0AC4" w:rsidRDefault="009D0AC4"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c>
          <w:tcPr>
            <w:tcW w:w="3208" w:type="dxa"/>
            <w:shd w:val="clear" w:color="auto" w:fill="F2F2F2" w:themeFill="background1" w:themeFillShade="F2"/>
          </w:tcPr>
          <w:p w:rsidR="009D0AC4" w:rsidRDefault="009D0AC4" w:rsidP="009D0AC4">
            <w:pPr>
              <w:pStyle w:val="BodyA"/>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r>
      <w:tr w:rsidR="009D0AC4" w:rsidTr="009D0AC4">
        <w:tc>
          <w:tcPr>
            <w:cnfStyle w:val="001000000000" w:firstRow="0" w:lastRow="0" w:firstColumn="1" w:lastColumn="0" w:oddVBand="0" w:evenVBand="0" w:oddHBand="0" w:evenHBand="0" w:firstRowFirstColumn="0" w:firstRowLastColumn="0" w:lastRowFirstColumn="0" w:lastRowLastColumn="0"/>
            <w:tcW w:w="3207" w:type="dxa"/>
            <w:shd w:val="clear" w:color="auto" w:fill="D9D9D9" w:themeFill="background1" w:themeFillShade="D9"/>
          </w:tcPr>
          <w:p w:rsidR="009D0AC4" w:rsidRDefault="009D0AC4" w:rsidP="009D0AC4">
            <w:pPr>
              <w:pStyle w:val="BodyA"/>
              <w:jc w:val="center"/>
              <w:rPr>
                <w:rFonts w:ascii="Calibri" w:hAnsi="Calibri" w:cs="Calibri"/>
                <w:sz w:val="24"/>
                <w:szCs w:val="24"/>
              </w:rPr>
            </w:pPr>
            <w:r>
              <w:rPr>
                <w:rFonts w:ascii="Calibri" w:hAnsi="Calibri" w:cs="Calibri"/>
                <w:sz w:val="24"/>
                <w:szCs w:val="24"/>
              </w:rPr>
              <w:t>RPMI-1640</w:t>
            </w:r>
          </w:p>
          <w:p w:rsidR="009D0AC4" w:rsidRDefault="009D0AC4" w:rsidP="009D0AC4">
            <w:pPr>
              <w:pStyle w:val="BodyA"/>
              <w:jc w:val="center"/>
              <w:rPr>
                <w:rFonts w:ascii="Calibri" w:hAnsi="Calibri" w:cs="Calibri"/>
                <w:sz w:val="24"/>
                <w:szCs w:val="24"/>
              </w:rPr>
            </w:pPr>
            <w:r>
              <w:rPr>
                <w:rFonts w:ascii="Calibri" w:hAnsi="Calibri" w:cs="Calibri"/>
                <w:sz w:val="24"/>
                <w:szCs w:val="24"/>
              </w:rPr>
              <w:t>(no phenol red)</w:t>
            </w:r>
          </w:p>
        </w:tc>
        <w:tc>
          <w:tcPr>
            <w:tcW w:w="3207" w:type="dxa"/>
          </w:tcPr>
          <w:p w:rsidR="009D0AC4" w:rsidRDefault="009D0AC4" w:rsidP="009D0AC4">
            <w:pPr>
              <w:pStyle w:val="BodyA"/>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t>TBD</w:t>
            </w:r>
          </w:p>
        </w:tc>
        <w:tc>
          <w:tcPr>
            <w:tcW w:w="3208" w:type="dxa"/>
          </w:tcPr>
          <w:p w:rsidR="009D0AC4" w:rsidRDefault="009D0AC4" w:rsidP="009D0AC4">
            <w:pPr>
              <w:pStyle w:val="BodyA"/>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4"/>
                <w:szCs w:val="24"/>
              </w:rPr>
            </w:pPr>
            <w:r>
              <w:rPr>
                <w:rFonts w:ascii="Calibri" w:hAnsi="Calibri" w:cs="Calibri"/>
                <w:sz w:val="24"/>
                <w:szCs w:val="24"/>
              </w:rPr>
              <w:sym w:font="Wingdings" w:char="F0FC"/>
            </w:r>
          </w:p>
        </w:tc>
      </w:tr>
    </w:tbl>
    <w:p w:rsidR="00FA241A" w:rsidRDefault="00FA241A" w:rsidP="00AB4F30">
      <w:pPr>
        <w:pStyle w:val="BodyA"/>
        <w:rPr>
          <w:rFonts w:ascii="Calibri" w:hAnsi="Calibri" w:cs="Calibri"/>
          <w:sz w:val="24"/>
          <w:szCs w:val="24"/>
        </w:rPr>
      </w:pPr>
    </w:p>
    <w:p w:rsidR="00FA241A" w:rsidRDefault="00FA241A" w:rsidP="00AB4F30">
      <w:pPr>
        <w:pStyle w:val="BodyA"/>
        <w:rPr>
          <w:rFonts w:ascii="Calibri" w:hAnsi="Calibri" w:cs="Calibri"/>
          <w:sz w:val="28"/>
          <w:szCs w:val="28"/>
        </w:rPr>
      </w:pPr>
    </w:p>
    <w:p w:rsidR="00FE021F" w:rsidRDefault="00FE021F" w:rsidP="00AB4F30">
      <w:pPr>
        <w:pStyle w:val="BodyA"/>
        <w:rPr>
          <w:rFonts w:ascii="Calibri" w:hAnsi="Calibri" w:cs="Calibri"/>
          <w:sz w:val="28"/>
          <w:szCs w:val="28"/>
        </w:rPr>
      </w:pPr>
    </w:p>
    <w:p w:rsidR="00FE021F" w:rsidRDefault="00FE021F" w:rsidP="00AB4F30">
      <w:pPr>
        <w:pStyle w:val="BodyA"/>
        <w:rPr>
          <w:rFonts w:ascii="Calibri" w:hAnsi="Calibri" w:cs="Calibri"/>
          <w:sz w:val="28"/>
          <w:szCs w:val="28"/>
        </w:rPr>
      </w:pPr>
    </w:p>
    <w:p w:rsidR="00001973" w:rsidRDefault="00FE021F" w:rsidP="00AB4F30">
      <w:pPr>
        <w:pStyle w:val="BodyA"/>
        <w:rPr>
          <w:rFonts w:ascii="Calibri" w:hAnsi="Calibri" w:cs="Calibri"/>
          <w:b/>
          <w:sz w:val="32"/>
          <w:szCs w:val="32"/>
        </w:rPr>
      </w:pPr>
      <w:r w:rsidRPr="00AB4F30">
        <w:rPr>
          <w:rFonts w:ascii="Calibri" w:hAnsi="Calibri" w:cs="Calibri"/>
          <w:b/>
          <w:sz w:val="32"/>
          <w:szCs w:val="32"/>
        </w:rPr>
        <w:lastRenderedPageBreak/>
        <w:t>A</w:t>
      </w:r>
      <w:r>
        <w:rPr>
          <w:rFonts w:ascii="Calibri" w:hAnsi="Calibri" w:cs="Calibri"/>
          <w:b/>
          <w:sz w:val="32"/>
          <w:szCs w:val="32"/>
        </w:rPr>
        <w:t xml:space="preserve">ppendix 4: </w:t>
      </w:r>
      <w:r w:rsidR="009D0AC4">
        <w:rPr>
          <w:rFonts w:ascii="Calibri" w:hAnsi="Calibri" w:cs="Calibri"/>
          <w:sz w:val="24"/>
          <w:szCs w:val="24"/>
        </w:rPr>
        <w:t>Aim 2 experimental plan.</w:t>
      </w:r>
    </w:p>
    <w:p w:rsidR="00FE021F" w:rsidRDefault="00FE021F" w:rsidP="00AB4F30">
      <w:pPr>
        <w:pStyle w:val="BodyA"/>
        <w:rPr>
          <w:rFonts w:ascii="Calibri" w:hAnsi="Calibri" w:cs="Calibri"/>
          <w:b/>
          <w:sz w:val="32"/>
          <w:szCs w:val="32"/>
        </w:rPr>
      </w:pPr>
    </w:p>
    <w:tbl>
      <w:tblPr>
        <w:tblStyle w:val="MediumShading2-Accent5"/>
        <w:tblW w:w="0" w:type="auto"/>
        <w:tblLook w:val="04A0" w:firstRow="1" w:lastRow="0" w:firstColumn="1" w:lastColumn="0" w:noHBand="0" w:noVBand="1"/>
      </w:tblPr>
      <w:tblGrid>
        <w:gridCol w:w="1530"/>
        <w:gridCol w:w="1917"/>
        <w:gridCol w:w="1568"/>
        <w:gridCol w:w="1524"/>
        <w:gridCol w:w="1569"/>
        <w:gridCol w:w="1524"/>
      </w:tblGrid>
      <w:tr w:rsidR="00FE021F" w:rsidTr="00FE021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7" w:type="dxa"/>
            <w:shd w:val="clear" w:color="auto" w:fill="D9D9D9" w:themeFill="background1" w:themeFillShade="D9"/>
          </w:tcPr>
          <w:p w:rsidR="00FE021F" w:rsidRDefault="00FE021F" w:rsidP="00AB4F30">
            <w:pPr>
              <w:pStyle w:val="BodyA"/>
              <w:rPr>
                <w:rFonts w:ascii="Calibri" w:hAnsi="Calibri" w:cs="Calibri"/>
                <w:sz w:val="28"/>
                <w:szCs w:val="28"/>
              </w:rPr>
            </w:pPr>
            <w:r>
              <w:rPr>
                <w:rFonts w:ascii="Calibri" w:hAnsi="Calibri" w:cs="Calibri"/>
                <w:sz w:val="28"/>
                <w:szCs w:val="28"/>
              </w:rPr>
              <w:t>RPMI</w:t>
            </w:r>
          </w:p>
        </w:tc>
        <w:tc>
          <w:tcPr>
            <w:tcW w:w="1880" w:type="dxa"/>
            <w:shd w:val="clear" w:color="auto" w:fill="D9D9D9" w:themeFill="background1" w:themeFillShade="D9"/>
          </w:tcPr>
          <w:p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Supplemented with</w:t>
            </w:r>
          </w:p>
        </w:tc>
        <w:tc>
          <w:tcPr>
            <w:tcW w:w="1571" w:type="dxa"/>
            <w:shd w:val="clear" w:color="auto" w:fill="D9D9D9" w:themeFill="background1" w:themeFillShade="D9"/>
          </w:tcPr>
          <w:p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GA-Cn-YPD</w:t>
            </w:r>
          </w:p>
          <w:p w:rsidR="00FE021F" w:rsidRDefault="00FE021F" w:rsidP="00FE021F">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(fast growing)</w:t>
            </w:r>
          </w:p>
        </w:tc>
        <w:tc>
          <w:tcPr>
            <w:tcW w:w="1531" w:type="dxa"/>
            <w:shd w:val="clear" w:color="auto" w:fill="D9D9D9" w:themeFill="background1" w:themeFillShade="D9"/>
          </w:tcPr>
          <w:p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p>
        </w:tc>
        <w:tc>
          <w:tcPr>
            <w:tcW w:w="1572" w:type="dxa"/>
            <w:shd w:val="clear" w:color="auto" w:fill="D9D9D9" w:themeFill="background1" w:themeFillShade="D9"/>
          </w:tcPr>
          <w:p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GA-Cn-YND</w:t>
            </w:r>
          </w:p>
          <w:p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(starved)</w:t>
            </w:r>
          </w:p>
        </w:tc>
        <w:tc>
          <w:tcPr>
            <w:tcW w:w="1531" w:type="dxa"/>
            <w:shd w:val="clear" w:color="auto" w:fill="D9D9D9" w:themeFill="background1" w:themeFillShade="D9"/>
          </w:tcPr>
          <w:p w:rsidR="00FE021F" w:rsidRDefault="00FE021F" w:rsidP="00AB4F30">
            <w:pPr>
              <w:pStyle w:val="BodyA"/>
              <w:cnfStyle w:val="100000000000" w:firstRow="1" w:lastRow="0" w:firstColumn="0" w:lastColumn="0" w:oddVBand="0" w:evenVBand="0" w:oddHBand="0" w:evenHBand="0" w:firstRowFirstColumn="0" w:firstRowLastColumn="0" w:lastRowFirstColumn="0" w:lastRowLastColumn="0"/>
              <w:rPr>
                <w:rFonts w:ascii="Calibri" w:hAnsi="Calibri" w:cs="Calibri"/>
                <w:sz w:val="28"/>
                <w:szCs w:val="28"/>
              </w:rPr>
            </w:pPr>
          </w:p>
        </w:tc>
      </w:tr>
      <w:tr w:rsidR="00FE021F"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rsidR="00FE021F" w:rsidRDefault="00FE021F" w:rsidP="00AB4F30">
            <w:pPr>
              <w:pStyle w:val="BodyA"/>
              <w:rPr>
                <w:rFonts w:ascii="Calibri" w:hAnsi="Calibri" w:cs="Calibri"/>
                <w:sz w:val="28"/>
                <w:szCs w:val="28"/>
              </w:rPr>
            </w:pPr>
          </w:p>
        </w:tc>
        <w:tc>
          <w:tcPr>
            <w:tcW w:w="1880" w:type="dxa"/>
            <w:shd w:val="clear" w:color="auto" w:fill="F2F2F2" w:themeFill="background1" w:themeFillShade="F2"/>
          </w:tcPr>
          <w:p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p>
        </w:tc>
        <w:tc>
          <w:tcPr>
            <w:tcW w:w="1571" w:type="dxa"/>
            <w:shd w:val="clear" w:color="auto" w:fill="F2F2F2" w:themeFill="background1" w:themeFillShade="F2"/>
          </w:tcPr>
          <w:p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25⁰C</w:t>
            </w:r>
          </w:p>
        </w:tc>
        <w:tc>
          <w:tcPr>
            <w:tcW w:w="1531" w:type="dxa"/>
            <w:shd w:val="clear" w:color="auto" w:fill="F2F2F2" w:themeFill="background1" w:themeFillShade="F2"/>
          </w:tcPr>
          <w:p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37⁰C</w:t>
            </w:r>
          </w:p>
        </w:tc>
        <w:tc>
          <w:tcPr>
            <w:tcW w:w="1572" w:type="dxa"/>
            <w:shd w:val="clear" w:color="auto" w:fill="F2F2F2" w:themeFill="background1" w:themeFillShade="F2"/>
          </w:tcPr>
          <w:p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25⁰C</w:t>
            </w:r>
          </w:p>
        </w:tc>
        <w:tc>
          <w:tcPr>
            <w:tcW w:w="1531" w:type="dxa"/>
            <w:shd w:val="clear" w:color="auto" w:fill="F2F2F2" w:themeFill="background1" w:themeFillShade="F2"/>
          </w:tcPr>
          <w:p w:rsidR="00FE021F" w:rsidRDefault="00FE021F" w:rsidP="00AB4F30">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37⁰C</w:t>
            </w:r>
          </w:p>
        </w:tc>
      </w:tr>
      <w:tr w:rsidR="00FE021F"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rsidR="00FE021F" w:rsidRDefault="00FE021F" w:rsidP="00FE021F">
            <w:pPr>
              <w:pStyle w:val="BodyA"/>
              <w:rPr>
                <w:rFonts w:ascii="Calibri" w:hAnsi="Calibri" w:cs="Calibri"/>
                <w:sz w:val="28"/>
                <w:szCs w:val="28"/>
              </w:rPr>
            </w:pPr>
          </w:p>
        </w:tc>
        <w:tc>
          <w:tcPr>
            <w:tcW w:w="1880" w:type="dxa"/>
          </w:tcPr>
          <w:p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NAG</w:t>
            </w:r>
          </w:p>
        </w:tc>
        <w:tc>
          <w:tcPr>
            <w:tcW w:w="1571" w:type="dxa"/>
          </w:tcPr>
          <w:p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TBD</w:t>
            </w:r>
          </w:p>
        </w:tc>
        <w:tc>
          <w:tcPr>
            <w:tcW w:w="1531" w:type="dxa"/>
          </w:tcPr>
          <w:p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sym w:font="Wingdings" w:char="F0FC"/>
            </w:r>
          </w:p>
        </w:tc>
        <w:tc>
          <w:tcPr>
            <w:tcW w:w="1572" w:type="dxa"/>
          </w:tcPr>
          <w:p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r w:rsidR="00FE021F"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rsidR="00FE021F" w:rsidRDefault="00FE021F" w:rsidP="00FE021F">
            <w:pPr>
              <w:pStyle w:val="BodyA"/>
              <w:rPr>
                <w:rFonts w:ascii="Calibri" w:hAnsi="Calibri" w:cs="Calibri"/>
                <w:sz w:val="28"/>
                <w:szCs w:val="28"/>
              </w:rPr>
            </w:pPr>
          </w:p>
        </w:tc>
        <w:tc>
          <w:tcPr>
            <w:tcW w:w="1880" w:type="dxa"/>
            <w:shd w:val="clear" w:color="auto" w:fill="F2F2F2" w:themeFill="background1" w:themeFillShade="F2"/>
          </w:tcPr>
          <w:p w:rsidR="00FE021F" w:rsidRDefault="00FE021F" w:rsidP="00FE021F">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NAM</w:t>
            </w:r>
          </w:p>
        </w:tc>
        <w:tc>
          <w:tcPr>
            <w:tcW w:w="1571" w:type="dxa"/>
            <w:shd w:val="clear" w:color="auto" w:fill="F2F2F2" w:themeFill="background1" w:themeFillShade="F2"/>
          </w:tcPr>
          <w:p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F10AEA">
              <w:rPr>
                <w:rFonts w:ascii="Calibri" w:hAnsi="Calibri" w:cs="Calibri"/>
                <w:sz w:val="28"/>
                <w:szCs w:val="28"/>
              </w:rPr>
              <w:t>TBD</w:t>
            </w:r>
          </w:p>
        </w:tc>
        <w:tc>
          <w:tcPr>
            <w:tcW w:w="1531" w:type="dxa"/>
            <w:shd w:val="clear" w:color="auto" w:fill="F2F2F2" w:themeFill="background1" w:themeFillShade="F2"/>
          </w:tcPr>
          <w:p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A85445">
              <w:rPr>
                <w:rFonts w:ascii="Calibri" w:hAnsi="Calibri" w:cs="Calibri"/>
                <w:sz w:val="28"/>
                <w:szCs w:val="28"/>
              </w:rPr>
              <w:sym w:font="Wingdings" w:char="F0FC"/>
            </w:r>
          </w:p>
        </w:tc>
        <w:tc>
          <w:tcPr>
            <w:tcW w:w="1572" w:type="dxa"/>
            <w:shd w:val="clear" w:color="auto" w:fill="F2F2F2" w:themeFill="background1" w:themeFillShade="F2"/>
          </w:tcPr>
          <w:p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21662B">
              <w:rPr>
                <w:rFonts w:ascii="Calibri" w:hAnsi="Calibri" w:cs="Calibri"/>
                <w:sz w:val="28"/>
                <w:szCs w:val="28"/>
              </w:rPr>
              <w:t>TBD</w:t>
            </w:r>
          </w:p>
        </w:tc>
        <w:tc>
          <w:tcPr>
            <w:tcW w:w="1531" w:type="dxa"/>
            <w:shd w:val="clear" w:color="auto" w:fill="F2F2F2" w:themeFill="background1" w:themeFillShade="F2"/>
          </w:tcPr>
          <w:p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917034">
              <w:rPr>
                <w:rFonts w:ascii="Calibri" w:hAnsi="Calibri" w:cs="Calibri"/>
                <w:sz w:val="28"/>
                <w:szCs w:val="28"/>
              </w:rPr>
              <w:sym w:font="Wingdings" w:char="F0FC"/>
            </w:r>
          </w:p>
        </w:tc>
      </w:tr>
      <w:tr w:rsidR="00FE021F"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rsidR="00FE021F" w:rsidRDefault="00FE021F" w:rsidP="00FE021F">
            <w:pPr>
              <w:pStyle w:val="BodyA"/>
              <w:rPr>
                <w:rFonts w:ascii="Calibri" w:hAnsi="Calibri" w:cs="Calibri"/>
                <w:sz w:val="28"/>
                <w:szCs w:val="28"/>
              </w:rPr>
            </w:pPr>
          </w:p>
        </w:tc>
        <w:tc>
          <w:tcPr>
            <w:tcW w:w="1880" w:type="dxa"/>
          </w:tcPr>
          <w:p w:rsidR="00FE021F" w:rsidRDefault="00BB7CE8"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 xml:space="preserve">Muramyl </w:t>
            </w:r>
            <w:r w:rsidR="00FE021F">
              <w:rPr>
                <w:rFonts w:ascii="Calibri" w:hAnsi="Calibri" w:cs="Calibri"/>
                <w:sz w:val="28"/>
                <w:szCs w:val="28"/>
              </w:rPr>
              <w:t>dipeptide</w:t>
            </w:r>
          </w:p>
        </w:tc>
        <w:tc>
          <w:tcPr>
            <w:tcW w:w="1571" w:type="dxa"/>
          </w:tcPr>
          <w:p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F10AEA">
              <w:rPr>
                <w:rFonts w:ascii="Calibri" w:hAnsi="Calibri" w:cs="Calibri"/>
                <w:sz w:val="28"/>
                <w:szCs w:val="28"/>
              </w:rPr>
              <w:t>TBD</w:t>
            </w:r>
          </w:p>
        </w:tc>
        <w:tc>
          <w:tcPr>
            <w:tcW w:w="1531" w:type="dxa"/>
          </w:tcPr>
          <w:p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A85445">
              <w:rPr>
                <w:rFonts w:ascii="Calibri" w:hAnsi="Calibri" w:cs="Calibri"/>
                <w:sz w:val="28"/>
                <w:szCs w:val="28"/>
              </w:rPr>
              <w:sym w:font="Wingdings" w:char="F0FC"/>
            </w:r>
          </w:p>
        </w:tc>
        <w:tc>
          <w:tcPr>
            <w:tcW w:w="1572" w:type="dxa"/>
          </w:tcPr>
          <w:p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r w:rsidR="00FE021F" w:rsidTr="00FE0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rsidR="00FE021F" w:rsidRDefault="00FE021F" w:rsidP="00FE021F">
            <w:pPr>
              <w:pStyle w:val="BodyA"/>
              <w:rPr>
                <w:rFonts w:ascii="Calibri" w:hAnsi="Calibri" w:cs="Calibri"/>
                <w:sz w:val="28"/>
                <w:szCs w:val="28"/>
              </w:rPr>
            </w:pPr>
          </w:p>
        </w:tc>
        <w:tc>
          <w:tcPr>
            <w:tcW w:w="1880" w:type="dxa"/>
            <w:shd w:val="clear" w:color="auto" w:fill="F2F2F2" w:themeFill="background1" w:themeFillShade="F2"/>
          </w:tcPr>
          <w:p w:rsidR="00FE021F" w:rsidRDefault="00FE021F" w:rsidP="00FE021F">
            <w:pPr>
              <w:pStyle w:val="BodyA"/>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LPS</w:t>
            </w:r>
          </w:p>
        </w:tc>
        <w:tc>
          <w:tcPr>
            <w:tcW w:w="1571" w:type="dxa"/>
            <w:shd w:val="clear" w:color="auto" w:fill="F2F2F2" w:themeFill="background1" w:themeFillShade="F2"/>
          </w:tcPr>
          <w:p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F10AEA">
              <w:rPr>
                <w:rFonts w:ascii="Calibri" w:hAnsi="Calibri" w:cs="Calibri"/>
                <w:sz w:val="28"/>
                <w:szCs w:val="28"/>
              </w:rPr>
              <w:t>TBD</w:t>
            </w:r>
          </w:p>
        </w:tc>
        <w:tc>
          <w:tcPr>
            <w:tcW w:w="1531" w:type="dxa"/>
            <w:shd w:val="clear" w:color="auto" w:fill="F2F2F2" w:themeFill="background1" w:themeFillShade="F2"/>
          </w:tcPr>
          <w:p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A85445">
              <w:rPr>
                <w:rFonts w:ascii="Calibri" w:hAnsi="Calibri" w:cs="Calibri"/>
                <w:sz w:val="28"/>
                <w:szCs w:val="28"/>
              </w:rPr>
              <w:sym w:font="Wingdings" w:char="F0FC"/>
            </w:r>
          </w:p>
        </w:tc>
        <w:tc>
          <w:tcPr>
            <w:tcW w:w="1572" w:type="dxa"/>
            <w:shd w:val="clear" w:color="auto" w:fill="F2F2F2" w:themeFill="background1" w:themeFillShade="F2"/>
          </w:tcPr>
          <w:p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21662B">
              <w:rPr>
                <w:rFonts w:ascii="Calibri" w:hAnsi="Calibri" w:cs="Calibri"/>
                <w:sz w:val="28"/>
                <w:szCs w:val="28"/>
              </w:rPr>
              <w:t>TBD</w:t>
            </w:r>
          </w:p>
        </w:tc>
        <w:tc>
          <w:tcPr>
            <w:tcW w:w="1531" w:type="dxa"/>
            <w:shd w:val="clear" w:color="auto" w:fill="F2F2F2" w:themeFill="background1" w:themeFillShade="F2"/>
          </w:tcPr>
          <w:p w:rsidR="00FE021F" w:rsidRDefault="00FE021F" w:rsidP="00FE021F">
            <w:pPr>
              <w:cnfStyle w:val="000000100000" w:firstRow="0" w:lastRow="0" w:firstColumn="0" w:lastColumn="0" w:oddVBand="0" w:evenVBand="0" w:oddHBand="1" w:evenHBand="0" w:firstRowFirstColumn="0" w:firstRowLastColumn="0" w:lastRowFirstColumn="0" w:lastRowLastColumn="0"/>
            </w:pPr>
            <w:r w:rsidRPr="00917034">
              <w:rPr>
                <w:rFonts w:ascii="Calibri" w:hAnsi="Calibri" w:cs="Calibri"/>
                <w:sz w:val="28"/>
                <w:szCs w:val="28"/>
              </w:rPr>
              <w:sym w:font="Wingdings" w:char="F0FC"/>
            </w:r>
          </w:p>
        </w:tc>
      </w:tr>
      <w:tr w:rsidR="00FE021F" w:rsidTr="00FE021F">
        <w:tc>
          <w:tcPr>
            <w:cnfStyle w:val="001000000000" w:firstRow="0" w:lastRow="0" w:firstColumn="1" w:lastColumn="0" w:oddVBand="0" w:evenVBand="0" w:oddHBand="0" w:evenHBand="0" w:firstRowFirstColumn="0" w:firstRowLastColumn="0" w:lastRowFirstColumn="0" w:lastRowLastColumn="0"/>
            <w:tcW w:w="1537" w:type="dxa"/>
            <w:shd w:val="clear" w:color="auto" w:fill="D9D9D9" w:themeFill="background1" w:themeFillShade="D9"/>
          </w:tcPr>
          <w:p w:rsidR="00FE021F" w:rsidRDefault="00FE021F" w:rsidP="00FE021F">
            <w:pPr>
              <w:pStyle w:val="BodyA"/>
              <w:rPr>
                <w:rFonts w:ascii="Calibri" w:hAnsi="Calibri" w:cs="Calibri"/>
                <w:sz w:val="28"/>
                <w:szCs w:val="28"/>
              </w:rPr>
            </w:pPr>
          </w:p>
        </w:tc>
        <w:tc>
          <w:tcPr>
            <w:tcW w:w="1880" w:type="dxa"/>
          </w:tcPr>
          <w:p w:rsidR="00FE021F" w:rsidRDefault="00FE021F" w:rsidP="00FE021F">
            <w:pPr>
              <w:pStyle w:val="BodyA"/>
              <w:cnfStyle w:val="000000000000" w:firstRow="0" w:lastRow="0" w:firstColumn="0" w:lastColumn="0" w:oddVBand="0" w:evenVBand="0" w:oddHBand="0" w:evenHBand="0" w:firstRowFirstColumn="0" w:firstRowLastColumn="0" w:lastRowFirstColumn="0" w:lastRowLastColumn="0"/>
              <w:rPr>
                <w:rFonts w:ascii="Calibri" w:hAnsi="Calibri" w:cs="Calibri"/>
                <w:sz w:val="28"/>
                <w:szCs w:val="28"/>
              </w:rPr>
            </w:pPr>
            <w:r>
              <w:rPr>
                <w:rFonts w:ascii="Calibri" w:hAnsi="Calibri" w:cs="Calibri"/>
                <w:sz w:val="28"/>
                <w:szCs w:val="28"/>
              </w:rPr>
              <w:t>TA</w:t>
            </w:r>
          </w:p>
        </w:tc>
        <w:tc>
          <w:tcPr>
            <w:tcW w:w="1571" w:type="dxa"/>
          </w:tcPr>
          <w:p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F10AEA">
              <w:rPr>
                <w:rFonts w:ascii="Calibri" w:hAnsi="Calibri" w:cs="Calibri"/>
                <w:sz w:val="28"/>
                <w:szCs w:val="28"/>
              </w:rPr>
              <w:t>TBD</w:t>
            </w:r>
          </w:p>
        </w:tc>
        <w:tc>
          <w:tcPr>
            <w:tcW w:w="1531" w:type="dxa"/>
          </w:tcPr>
          <w:p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A85445">
              <w:rPr>
                <w:rFonts w:ascii="Calibri" w:hAnsi="Calibri" w:cs="Calibri"/>
                <w:sz w:val="28"/>
                <w:szCs w:val="28"/>
              </w:rPr>
              <w:sym w:font="Wingdings" w:char="F0FC"/>
            </w:r>
          </w:p>
        </w:tc>
        <w:tc>
          <w:tcPr>
            <w:tcW w:w="1572" w:type="dxa"/>
          </w:tcPr>
          <w:p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21662B">
              <w:rPr>
                <w:rFonts w:ascii="Calibri" w:hAnsi="Calibri" w:cs="Calibri"/>
                <w:sz w:val="28"/>
                <w:szCs w:val="28"/>
              </w:rPr>
              <w:t>TBD</w:t>
            </w:r>
          </w:p>
        </w:tc>
        <w:tc>
          <w:tcPr>
            <w:tcW w:w="1531" w:type="dxa"/>
          </w:tcPr>
          <w:p w:rsidR="00FE021F" w:rsidRDefault="00FE021F" w:rsidP="00FE021F">
            <w:pPr>
              <w:cnfStyle w:val="000000000000" w:firstRow="0" w:lastRow="0" w:firstColumn="0" w:lastColumn="0" w:oddVBand="0" w:evenVBand="0" w:oddHBand="0" w:evenHBand="0" w:firstRowFirstColumn="0" w:firstRowLastColumn="0" w:lastRowFirstColumn="0" w:lastRowLastColumn="0"/>
            </w:pPr>
            <w:r w:rsidRPr="00917034">
              <w:rPr>
                <w:rFonts w:ascii="Calibri" w:hAnsi="Calibri" w:cs="Calibri"/>
                <w:sz w:val="28"/>
                <w:szCs w:val="28"/>
              </w:rPr>
              <w:sym w:font="Wingdings" w:char="F0FC"/>
            </w:r>
          </w:p>
        </w:tc>
      </w:tr>
    </w:tbl>
    <w:p w:rsidR="00FE021F" w:rsidRPr="00001973" w:rsidRDefault="00FE021F" w:rsidP="00AB4F30">
      <w:pPr>
        <w:pStyle w:val="BodyA"/>
        <w:rPr>
          <w:rFonts w:ascii="Calibri" w:hAnsi="Calibri" w:cs="Calibri"/>
          <w:sz w:val="28"/>
          <w:szCs w:val="28"/>
        </w:rPr>
      </w:pPr>
    </w:p>
    <w:sectPr w:rsidR="00FE021F" w:rsidRPr="00001973" w:rsidSect="0059144A">
      <w:pgSz w:w="11900" w:h="16840"/>
      <w:pgMar w:top="28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344" w:rsidRDefault="00C12344">
      <w:r>
        <w:separator/>
      </w:r>
    </w:p>
  </w:endnote>
  <w:endnote w:type="continuationSeparator" w:id="0">
    <w:p w:rsidR="00C12344" w:rsidRDefault="00C12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1EA" w:rsidRDefault="00812FFE">
    <w:pPr>
      <w:pStyle w:val="Footer"/>
      <w:jc w:val="center"/>
      <w:rPr>
        <w:caps/>
        <w:color w:val="00A2FF"/>
        <w:u w:color="00A2FF"/>
      </w:rPr>
    </w:pPr>
    <w:r>
      <w:rPr>
        <w:caps/>
        <w:color w:val="00A2FF"/>
        <w:u w:color="00A2FF"/>
      </w:rPr>
      <w:fldChar w:fldCharType="begin"/>
    </w:r>
    <w:r>
      <w:rPr>
        <w:caps/>
        <w:color w:val="00A2FF"/>
        <w:u w:color="00A2FF"/>
      </w:rPr>
      <w:instrText xml:space="preserve"> PAGE </w:instrText>
    </w:r>
    <w:r>
      <w:rPr>
        <w:caps/>
        <w:color w:val="00A2FF"/>
        <w:u w:color="00A2FF"/>
      </w:rPr>
      <w:fldChar w:fldCharType="separate"/>
    </w:r>
    <w:r w:rsidR="00A45EDF">
      <w:rPr>
        <w:caps/>
        <w:noProof/>
        <w:color w:val="00A2FF"/>
        <w:u w:color="00A2FF"/>
      </w:rPr>
      <w:t>18</w:t>
    </w:r>
    <w:r>
      <w:rPr>
        <w:caps/>
        <w:color w:val="00A2FF"/>
        <w:u w:color="00A2FF"/>
      </w:rPr>
      <w:fldChar w:fldCharType="end"/>
    </w:r>
  </w:p>
  <w:p w:rsidR="000341EA" w:rsidRDefault="00812FFE">
    <w:pPr>
      <w:pStyle w:val="Body"/>
    </w:pPr>
    <w:r>
      <w:t>Dr.</w:t>
    </w:r>
    <w:r w:rsidR="004B04B1">
      <w:t xml:space="preserve"> Elizabeth Hughes</w:t>
    </w:r>
    <w:r w:rsidR="004B04B1">
      <w:tab/>
    </w:r>
    <w:r w:rsidR="004B04B1">
      <w:tab/>
    </w:r>
    <w:r w:rsidR="004B04B1">
      <w:tab/>
    </w:r>
    <w:r w:rsidR="004B04B1">
      <w:tab/>
    </w:r>
    <w:r w:rsidR="004B04B1">
      <w:tab/>
    </w:r>
    <w:r w:rsidR="004B04B1">
      <w:tab/>
    </w:r>
    <w:r w:rsidR="004B04B1">
      <w:tab/>
    </w:r>
    <w:r w:rsidR="004B04B1">
      <w:tab/>
    </w:r>
    <w:r w:rsidR="004B04B1">
      <w:tab/>
    </w:r>
    <w:r w:rsidR="004B04B1">
      <w:tab/>
      <w:t>10</w:t>
    </w:r>
    <w:r w:rsidR="00F13CA2">
      <w:t>/12</w:t>
    </w:r>
    <w:r>
      <w:t>/18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344" w:rsidRDefault="00C12344">
      <w:r>
        <w:separator/>
      </w:r>
    </w:p>
  </w:footnote>
  <w:footnote w:type="continuationSeparator" w:id="0">
    <w:p w:rsidR="00C12344" w:rsidRDefault="00C123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41EA" w:rsidRDefault="00812FFE">
    <w:pPr>
      <w:pStyle w:val="Header"/>
    </w:pPr>
    <w:r>
      <w:rPr>
        <w:noProof/>
        <w:lang w:val="en-GB"/>
      </w:rPr>
      <mc:AlternateContent>
        <mc:Choice Requires="wps">
          <w:drawing>
            <wp:anchor distT="152400" distB="152400" distL="152400" distR="152400" simplePos="0" relativeHeight="251658240" behindDoc="1" locked="0" layoutInCell="1" allowOverlap="1">
              <wp:simplePos x="0" y="0"/>
              <wp:positionH relativeFrom="page">
                <wp:posOffset>1161415</wp:posOffset>
              </wp:positionH>
              <wp:positionV relativeFrom="page">
                <wp:posOffset>3774757</wp:posOffset>
              </wp:positionV>
              <wp:extent cx="5237480" cy="3142615"/>
              <wp:effectExtent l="344071" t="1391503" r="344071" b="1391503"/>
              <wp:wrapNone/>
              <wp:docPr id="1073741825" name="officeArt object"/>
              <wp:cNvGraphicFramePr/>
              <a:graphic xmlns:a="http://schemas.openxmlformats.org/drawingml/2006/main">
                <a:graphicData uri="http://schemas.microsoft.com/office/word/2010/wordprocessingShape">
                  <wps:wsp>
                    <wps:cNvSpPr txBox="1"/>
                    <wps:spPr>
                      <a:xfrm rot="18900000">
                        <a:off x="0" y="0"/>
                        <a:ext cx="5237480" cy="3142615"/>
                      </a:xfrm>
                      <a:prstGeom prst="rect">
                        <a:avLst/>
                      </a:prstGeom>
                      <a:noFill/>
                      <a:ln w="12700" cap="flat">
                        <a:noFill/>
                        <a:miter lim="400000"/>
                      </a:ln>
                      <a:effectLst/>
                    </wps:spPr>
                    <wps:txbx>
                      <w:txbxContent>
                        <w:p w:rsidR="000341EA" w:rsidRDefault="00812FFE">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wps:txbx>
                    <wps:bodyPr wrap="square" lIns="0" tIns="0" rIns="0" bIns="0" numCol="1" anchor="ctr">
                      <a:norm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style="position:absolute;margin-left:91.45pt;margin-top:297.2pt;width:412.4pt;height:247.45pt;rotation:-45;z-index:-251658240;visibility:visible;mso-wrap-style:square;mso-wrap-distance-left:12pt;mso-wrap-distance-top:12pt;mso-wrap-distance-right:12pt;mso-wrap-distance-bottom:12pt;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" filled="f" stroked="f" strokeweight="1pt">
              <v:stroke miterlimit="4"/>
              <v:textbox inset="0,0,0,0">
                <w:txbxContent>
                  <w:p w:rsidR="000341EA" w:rsidRDefault="00812FFE">
                    <w:pPr>
                      <w:pStyle w:val="Caption"/>
                      <w:tabs>
                        <w:tab w:val="left" w:pos="1440"/>
                        <w:tab w:val="left" w:pos="2880"/>
                        <w:tab w:val="left" w:pos="4320"/>
                        <w:tab w:val="left" w:pos="5760"/>
                        <w:tab w:val="left" w:pos="7200"/>
                      </w:tabs>
                    </w:pPr>
                    <w:r>
                      <w:rPr>
                        <w:rFonts w:ascii="Calibri" w:eastAsia="Calibri" w:hAnsi="Calibri" w:cs="Calibri"/>
                        <w:color w:val="C0C0C0"/>
                        <w:sz w:val="494"/>
                        <w:szCs w:val="494"/>
                      </w:rPr>
                      <w:t>DRAFT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5165A"/>
    <w:multiLevelType w:val="hybridMultilevel"/>
    <w:tmpl w:val="AB2094F0"/>
    <w:numStyleLink w:val="ImportedStyle1"/>
  </w:abstractNum>
  <w:abstractNum w:abstractNumId="1" w15:restartNumberingAfterBreak="0">
    <w:nsid w:val="0F705F67"/>
    <w:multiLevelType w:val="hybridMultilevel"/>
    <w:tmpl w:val="4CDC17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EF5280"/>
    <w:multiLevelType w:val="hybridMultilevel"/>
    <w:tmpl w:val="74FC5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4439B4"/>
    <w:multiLevelType w:val="hybridMultilevel"/>
    <w:tmpl w:val="D3002098"/>
    <w:styleLink w:val="ImportedStyle2"/>
    <w:lvl w:ilvl="0" w:tplc="CB6C76F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6D856F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E44711A">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5F720EB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39EE3F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3E21F9A">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DAAE09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71A6894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FAAD476">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B2D79C2"/>
    <w:multiLevelType w:val="hybridMultilevel"/>
    <w:tmpl w:val="AB2094F0"/>
    <w:styleLink w:val="ImportedStyle1"/>
    <w:lvl w:ilvl="0" w:tplc="340ABACA">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611E555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1826084">
      <w:start w:val="1"/>
      <w:numFmt w:val="lowerRoman"/>
      <w:lvlText w:val="%3."/>
      <w:lvlJc w:val="left"/>
      <w:pPr>
        <w:ind w:left="2160" w:hanging="306"/>
      </w:pPr>
      <w:rPr>
        <w:rFonts w:hAnsi="Arial Unicode MS"/>
        <w:caps w:val="0"/>
        <w:smallCaps w:val="0"/>
        <w:strike w:val="0"/>
        <w:dstrike w:val="0"/>
        <w:outline w:val="0"/>
        <w:emboss w:val="0"/>
        <w:imprint w:val="0"/>
        <w:spacing w:val="0"/>
        <w:w w:val="100"/>
        <w:kern w:val="0"/>
        <w:position w:val="0"/>
        <w:highlight w:val="none"/>
        <w:vertAlign w:val="baseline"/>
      </w:rPr>
    </w:lvl>
    <w:lvl w:ilvl="3" w:tplc="FD18070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D46F90A">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7DE065D2">
      <w:start w:val="1"/>
      <w:numFmt w:val="lowerRoman"/>
      <w:lvlText w:val="%6."/>
      <w:lvlJc w:val="left"/>
      <w:pPr>
        <w:ind w:left="4320" w:hanging="306"/>
      </w:pPr>
      <w:rPr>
        <w:rFonts w:hAnsi="Arial Unicode MS"/>
        <w:caps w:val="0"/>
        <w:smallCaps w:val="0"/>
        <w:strike w:val="0"/>
        <w:dstrike w:val="0"/>
        <w:outline w:val="0"/>
        <w:emboss w:val="0"/>
        <w:imprint w:val="0"/>
        <w:spacing w:val="0"/>
        <w:w w:val="100"/>
        <w:kern w:val="0"/>
        <w:position w:val="0"/>
        <w:highlight w:val="none"/>
        <w:vertAlign w:val="baseline"/>
      </w:rPr>
    </w:lvl>
    <w:lvl w:ilvl="6" w:tplc="B562E68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A0297E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4CA9190">
      <w:start w:val="1"/>
      <w:numFmt w:val="lowerRoman"/>
      <w:lvlText w:val="%9."/>
      <w:lvlJc w:val="left"/>
      <w:pPr>
        <w:ind w:left="6480" w:hanging="30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89F654E"/>
    <w:multiLevelType w:val="hybridMultilevel"/>
    <w:tmpl w:val="D3002098"/>
    <w:numStyleLink w:val="ImportedStyle2"/>
  </w:abstractNum>
  <w:abstractNum w:abstractNumId="6" w15:restartNumberingAfterBreak="0">
    <w:nsid w:val="6F0029CB"/>
    <w:multiLevelType w:val="hybridMultilevel"/>
    <w:tmpl w:val="DA6CF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EA"/>
    <w:rsid w:val="00001973"/>
    <w:rsid w:val="00014479"/>
    <w:rsid w:val="00020452"/>
    <w:rsid w:val="00027337"/>
    <w:rsid w:val="0003281D"/>
    <w:rsid w:val="0003314B"/>
    <w:rsid w:val="000341EA"/>
    <w:rsid w:val="00066597"/>
    <w:rsid w:val="00092EA7"/>
    <w:rsid w:val="000A27BB"/>
    <w:rsid w:val="000B637B"/>
    <w:rsid w:val="000D277A"/>
    <w:rsid w:val="000D7EDA"/>
    <w:rsid w:val="000F220F"/>
    <w:rsid w:val="000F6154"/>
    <w:rsid w:val="000F6A24"/>
    <w:rsid w:val="00147632"/>
    <w:rsid w:val="0017455A"/>
    <w:rsid w:val="00183E00"/>
    <w:rsid w:val="001920E1"/>
    <w:rsid w:val="001D0081"/>
    <w:rsid w:val="001E09C9"/>
    <w:rsid w:val="001F476E"/>
    <w:rsid w:val="002006A9"/>
    <w:rsid w:val="0021799E"/>
    <w:rsid w:val="00226DDC"/>
    <w:rsid w:val="0023670A"/>
    <w:rsid w:val="0023753B"/>
    <w:rsid w:val="0026081C"/>
    <w:rsid w:val="00286D85"/>
    <w:rsid w:val="00292AE7"/>
    <w:rsid w:val="002A7734"/>
    <w:rsid w:val="002C22F0"/>
    <w:rsid w:val="002D1012"/>
    <w:rsid w:val="002F194A"/>
    <w:rsid w:val="0030136F"/>
    <w:rsid w:val="003030CE"/>
    <w:rsid w:val="003040FB"/>
    <w:rsid w:val="00330D92"/>
    <w:rsid w:val="00332678"/>
    <w:rsid w:val="00332A7D"/>
    <w:rsid w:val="00340133"/>
    <w:rsid w:val="00353038"/>
    <w:rsid w:val="00376B8B"/>
    <w:rsid w:val="0038044C"/>
    <w:rsid w:val="00397181"/>
    <w:rsid w:val="003A27DE"/>
    <w:rsid w:val="003A7AAF"/>
    <w:rsid w:val="003B6103"/>
    <w:rsid w:val="003E2317"/>
    <w:rsid w:val="003E2FE0"/>
    <w:rsid w:val="004165D6"/>
    <w:rsid w:val="0043008D"/>
    <w:rsid w:val="00437149"/>
    <w:rsid w:val="00443F5D"/>
    <w:rsid w:val="004501ED"/>
    <w:rsid w:val="0045203B"/>
    <w:rsid w:val="00466009"/>
    <w:rsid w:val="0046783B"/>
    <w:rsid w:val="004860BF"/>
    <w:rsid w:val="00487B5A"/>
    <w:rsid w:val="004A2004"/>
    <w:rsid w:val="004B04B1"/>
    <w:rsid w:val="004B187E"/>
    <w:rsid w:val="004B5E42"/>
    <w:rsid w:val="004C0650"/>
    <w:rsid w:val="004C500C"/>
    <w:rsid w:val="004C6FDC"/>
    <w:rsid w:val="004D0156"/>
    <w:rsid w:val="004D2901"/>
    <w:rsid w:val="004D3A66"/>
    <w:rsid w:val="004D5140"/>
    <w:rsid w:val="004E5CEF"/>
    <w:rsid w:val="004E7563"/>
    <w:rsid w:val="004F6908"/>
    <w:rsid w:val="0053133B"/>
    <w:rsid w:val="0053306F"/>
    <w:rsid w:val="00543FC6"/>
    <w:rsid w:val="00574284"/>
    <w:rsid w:val="00581AE5"/>
    <w:rsid w:val="0059144A"/>
    <w:rsid w:val="005B1CDD"/>
    <w:rsid w:val="005C152D"/>
    <w:rsid w:val="005D2997"/>
    <w:rsid w:val="005D5815"/>
    <w:rsid w:val="005E21BE"/>
    <w:rsid w:val="005F406F"/>
    <w:rsid w:val="00605C6E"/>
    <w:rsid w:val="00613ECD"/>
    <w:rsid w:val="00624C25"/>
    <w:rsid w:val="00635107"/>
    <w:rsid w:val="006511D7"/>
    <w:rsid w:val="00661550"/>
    <w:rsid w:val="00672119"/>
    <w:rsid w:val="00673616"/>
    <w:rsid w:val="00674047"/>
    <w:rsid w:val="00697FF0"/>
    <w:rsid w:val="006C2112"/>
    <w:rsid w:val="006C4B67"/>
    <w:rsid w:val="006C501F"/>
    <w:rsid w:val="006D124C"/>
    <w:rsid w:val="006D53CB"/>
    <w:rsid w:val="006F051D"/>
    <w:rsid w:val="006F1276"/>
    <w:rsid w:val="006F5DE9"/>
    <w:rsid w:val="00720278"/>
    <w:rsid w:val="007226E6"/>
    <w:rsid w:val="00724568"/>
    <w:rsid w:val="00726919"/>
    <w:rsid w:val="00731573"/>
    <w:rsid w:val="0073211E"/>
    <w:rsid w:val="00736B3C"/>
    <w:rsid w:val="007638B2"/>
    <w:rsid w:val="007908CA"/>
    <w:rsid w:val="007A5ED1"/>
    <w:rsid w:val="007B032E"/>
    <w:rsid w:val="007B0428"/>
    <w:rsid w:val="007D3928"/>
    <w:rsid w:val="007D3C3A"/>
    <w:rsid w:val="007F2946"/>
    <w:rsid w:val="007F4F12"/>
    <w:rsid w:val="00800870"/>
    <w:rsid w:val="00810E08"/>
    <w:rsid w:val="00812FFE"/>
    <w:rsid w:val="008315A4"/>
    <w:rsid w:val="00866DCA"/>
    <w:rsid w:val="00874BD1"/>
    <w:rsid w:val="00890626"/>
    <w:rsid w:val="008A150A"/>
    <w:rsid w:val="008A63AE"/>
    <w:rsid w:val="008B47AF"/>
    <w:rsid w:val="008E2B62"/>
    <w:rsid w:val="008F33C3"/>
    <w:rsid w:val="00900C66"/>
    <w:rsid w:val="009059FD"/>
    <w:rsid w:val="00936CFE"/>
    <w:rsid w:val="00937617"/>
    <w:rsid w:val="00943A1B"/>
    <w:rsid w:val="00951876"/>
    <w:rsid w:val="00957160"/>
    <w:rsid w:val="00964ABB"/>
    <w:rsid w:val="0097233F"/>
    <w:rsid w:val="009A20E3"/>
    <w:rsid w:val="009A5915"/>
    <w:rsid w:val="009A5D6D"/>
    <w:rsid w:val="009C4697"/>
    <w:rsid w:val="009C5CA1"/>
    <w:rsid w:val="009D0AC4"/>
    <w:rsid w:val="009F3133"/>
    <w:rsid w:val="00A03DC5"/>
    <w:rsid w:val="00A41894"/>
    <w:rsid w:val="00A41C76"/>
    <w:rsid w:val="00A45EDF"/>
    <w:rsid w:val="00A525CE"/>
    <w:rsid w:val="00A53551"/>
    <w:rsid w:val="00A54AEA"/>
    <w:rsid w:val="00A55A5A"/>
    <w:rsid w:val="00A845D7"/>
    <w:rsid w:val="00AB4F30"/>
    <w:rsid w:val="00AD0FD6"/>
    <w:rsid w:val="00AD6E31"/>
    <w:rsid w:val="00AE7BC8"/>
    <w:rsid w:val="00AF0550"/>
    <w:rsid w:val="00B031B3"/>
    <w:rsid w:val="00B15498"/>
    <w:rsid w:val="00B155AF"/>
    <w:rsid w:val="00B42CBA"/>
    <w:rsid w:val="00B64599"/>
    <w:rsid w:val="00B81C9A"/>
    <w:rsid w:val="00B90ECB"/>
    <w:rsid w:val="00B96CC3"/>
    <w:rsid w:val="00B97CBC"/>
    <w:rsid w:val="00BA6A40"/>
    <w:rsid w:val="00BA6B5C"/>
    <w:rsid w:val="00BB29F2"/>
    <w:rsid w:val="00BB6F6C"/>
    <w:rsid w:val="00BB7CE8"/>
    <w:rsid w:val="00BD3215"/>
    <w:rsid w:val="00BE7BAB"/>
    <w:rsid w:val="00C1014B"/>
    <w:rsid w:val="00C12344"/>
    <w:rsid w:val="00C12B32"/>
    <w:rsid w:val="00C15C47"/>
    <w:rsid w:val="00C24E22"/>
    <w:rsid w:val="00C33E9D"/>
    <w:rsid w:val="00C377D6"/>
    <w:rsid w:val="00C415BC"/>
    <w:rsid w:val="00C41CB1"/>
    <w:rsid w:val="00C60C70"/>
    <w:rsid w:val="00C71272"/>
    <w:rsid w:val="00C847F6"/>
    <w:rsid w:val="00C97D54"/>
    <w:rsid w:val="00CC5BB7"/>
    <w:rsid w:val="00CC6BF0"/>
    <w:rsid w:val="00CD387A"/>
    <w:rsid w:val="00CE31CA"/>
    <w:rsid w:val="00CF4F2B"/>
    <w:rsid w:val="00D02579"/>
    <w:rsid w:val="00D05A1A"/>
    <w:rsid w:val="00D0603A"/>
    <w:rsid w:val="00D6301A"/>
    <w:rsid w:val="00D63774"/>
    <w:rsid w:val="00D7179B"/>
    <w:rsid w:val="00D726F4"/>
    <w:rsid w:val="00DD0B4A"/>
    <w:rsid w:val="00DD5A40"/>
    <w:rsid w:val="00DE4206"/>
    <w:rsid w:val="00E01AEC"/>
    <w:rsid w:val="00E04910"/>
    <w:rsid w:val="00E11B3C"/>
    <w:rsid w:val="00E1737B"/>
    <w:rsid w:val="00E213A7"/>
    <w:rsid w:val="00E260BD"/>
    <w:rsid w:val="00E875B3"/>
    <w:rsid w:val="00E90884"/>
    <w:rsid w:val="00EA5A7E"/>
    <w:rsid w:val="00EB5003"/>
    <w:rsid w:val="00EB790F"/>
    <w:rsid w:val="00ED202B"/>
    <w:rsid w:val="00EF6775"/>
    <w:rsid w:val="00EF7A7F"/>
    <w:rsid w:val="00F02537"/>
    <w:rsid w:val="00F13CA2"/>
    <w:rsid w:val="00F24D8C"/>
    <w:rsid w:val="00F43E56"/>
    <w:rsid w:val="00F50443"/>
    <w:rsid w:val="00F5124E"/>
    <w:rsid w:val="00F56622"/>
    <w:rsid w:val="00F62E38"/>
    <w:rsid w:val="00F760BB"/>
    <w:rsid w:val="00F94C7A"/>
    <w:rsid w:val="00FA0CE1"/>
    <w:rsid w:val="00FA241A"/>
    <w:rsid w:val="00FB6F5E"/>
    <w:rsid w:val="00FC5739"/>
    <w:rsid w:val="00FE021F"/>
    <w:rsid w:val="00FE304B"/>
    <w:rsid w:val="00FE513B"/>
    <w:rsid w:val="00FF00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2C6DD66-98CF-4E7A-9749-1FEB1FEAC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Heading1">
    <w:name w:val="heading 1"/>
    <w:basedOn w:val="Normal"/>
    <w:next w:val="Normal"/>
    <w:link w:val="Heading1Char"/>
    <w:uiPriority w:val="9"/>
    <w:qFormat/>
    <w:rsid w:val="00900C66"/>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0079BF"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spacing w:after="160" w:line="276" w:lineRule="auto"/>
    </w:pPr>
    <w:rPr>
      <w:rFonts w:ascii="Helvetica Neue" w:hAnsi="Helvetica Neue" w:cs="Arial Unicode MS"/>
      <w:color w:val="000000"/>
      <w:sz w:val="21"/>
      <w:szCs w:val="21"/>
      <w:u w:color="000000"/>
      <w:lang w:val="en-US"/>
    </w:rPr>
  </w:style>
  <w:style w:type="paragraph" w:styleId="Caption">
    <w:name w:val="caption"/>
    <w:pPr>
      <w:suppressAutoHyphens/>
      <w:outlineLvl w:val="0"/>
    </w:pPr>
    <w:rPr>
      <w:rFonts w:ascii="Helvetica Neue" w:hAnsi="Helvetica Neue" w:cs="Arial Unicode MS"/>
      <w:color w:val="000000"/>
      <w:sz w:val="36"/>
      <w:szCs w:val="36"/>
      <w:lang w:val="de-DE"/>
    </w:rPr>
  </w:style>
  <w:style w:type="paragraph" w:styleId="Footer">
    <w:name w:val="footer"/>
    <w:pPr>
      <w:tabs>
        <w:tab w:val="center" w:pos="4513"/>
        <w:tab w:val="right" w:pos="9026"/>
      </w:tabs>
      <w:spacing w:after="160" w:line="276" w:lineRule="auto"/>
    </w:pPr>
    <w:rPr>
      <w:rFonts w:ascii="Helvetica Neue" w:eastAsia="Helvetica Neue" w:hAnsi="Helvetica Neue" w:cs="Helvetica Neue"/>
      <w:color w:val="000000"/>
      <w:sz w:val="21"/>
      <w:szCs w:val="21"/>
      <w:u w:color="000000"/>
      <w:lang w:val="en-US"/>
    </w:rPr>
  </w:style>
  <w:style w:type="paragraph" w:customStyle="1" w:styleId="Body">
    <w:name w:val="Body"/>
    <w:pPr>
      <w:spacing w:after="160" w:line="276" w:lineRule="auto"/>
    </w:pPr>
    <w:rPr>
      <w:rFonts w:ascii="Helvetica Neue" w:hAnsi="Helvetica Neue" w:cs="Arial Unicode MS"/>
      <w:color w:val="000000"/>
      <w:sz w:val="21"/>
      <w:szCs w:val="21"/>
      <w:u w:color="000000"/>
      <w:lang w:val="en-US"/>
    </w:rPr>
  </w:style>
  <w:style w:type="paragraph" w:customStyle="1" w:styleId="BodyA">
    <w:name w:val="Body A"/>
    <w:pPr>
      <w:spacing w:after="160" w:line="276" w:lineRule="auto"/>
    </w:pPr>
    <w:rPr>
      <w:rFonts w:ascii="Helvetica Neue" w:hAnsi="Helvetica Neue" w:cs="Arial Unicode MS"/>
      <w:color w:val="000000"/>
      <w:sz w:val="22"/>
      <w:szCs w:val="22"/>
      <w:u w:color="000000"/>
      <w:lang w:val="en-US"/>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eading1Char">
    <w:name w:val="Heading 1 Char"/>
    <w:basedOn w:val="DefaultParagraphFont"/>
    <w:link w:val="Heading1"/>
    <w:uiPriority w:val="9"/>
    <w:rsid w:val="00900C66"/>
    <w:rPr>
      <w:rFonts w:asciiTheme="majorHAnsi" w:eastAsiaTheme="majorEastAsia" w:hAnsiTheme="majorHAnsi" w:cstheme="majorBidi"/>
      <w:color w:val="0079BF" w:themeColor="accent1" w:themeShade="BF"/>
      <w:sz w:val="32"/>
      <w:szCs w:val="32"/>
      <w:bdr w:val="none" w:sz="0" w:space="0" w:color="auto"/>
      <w:lang w:val="en-US" w:eastAsia="en-US"/>
    </w:rPr>
  </w:style>
  <w:style w:type="character" w:customStyle="1" w:styleId="inline-l2-heading">
    <w:name w:val="inline-l2-heading"/>
    <w:basedOn w:val="DefaultParagraphFont"/>
    <w:rsid w:val="00E11B3C"/>
  </w:style>
  <w:style w:type="paragraph" w:styleId="FootnoteText">
    <w:name w:val="footnote text"/>
    <w:basedOn w:val="Normal"/>
    <w:link w:val="FootnoteTextChar"/>
    <w:uiPriority w:val="99"/>
    <w:unhideWhenUsed/>
    <w:rsid w:val="00F94C7A"/>
    <w:rPr>
      <w:sz w:val="20"/>
      <w:szCs w:val="20"/>
    </w:rPr>
  </w:style>
  <w:style w:type="character" w:customStyle="1" w:styleId="FootnoteTextChar">
    <w:name w:val="Footnote Text Char"/>
    <w:basedOn w:val="DefaultParagraphFont"/>
    <w:link w:val="FootnoteText"/>
    <w:uiPriority w:val="99"/>
    <w:rsid w:val="00F94C7A"/>
    <w:rPr>
      <w:lang w:val="en-US" w:eastAsia="en-US"/>
    </w:rPr>
  </w:style>
  <w:style w:type="character" w:styleId="FootnoteReference">
    <w:name w:val="footnote reference"/>
    <w:basedOn w:val="DefaultParagraphFont"/>
    <w:uiPriority w:val="99"/>
    <w:semiHidden/>
    <w:unhideWhenUsed/>
    <w:rsid w:val="00F94C7A"/>
    <w:rPr>
      <w:vertAlign w:val="superscript"/>
    </w:rPr>
  </w:style>
  <w:style w:type="paragraph" w:styleId="BalloonText">
    <w:name w:val="Balloon Text"/>
    <w:basedOn w:val="Normal"/>
    <w:link w:val="BalloonTextChar"/>
    <w:uiPriority w:val="99"/>
    <w:semiHidden/>
    <w:unhideWhenUsed/>
    <w:rsid w:val="00C33E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E9D"/>
    <w:rPr>
      <w:rFonts w:ascii="Segoe UI" w:hAnsi="Segoe UI" w:cs="Segoe UI"/>
      <w:sz w:val="18"/>
      <w:szCs w:val="18"/>
      <w:lang w:val="en-US" w:eastAsia="en-US"/>
    </w:rPr>
  </w:style>
  <w:style w:type="table" w:styleId="TableGrid">
    <w:name w:val="Table Grid"/>
    <w:basedOn w:val="TableNormal"/>
    <w:uiPriority w:val="39"/>
    <w:rsid w:val="005D2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5D5815"/>
    <w:pPr>
      <w:pBdr>
        <w:top w:val="none" w:sz="0" w:space="0" w:color="auto"/>
        <w:left w:val="none" w:sz="0" w:space="0" w:color="auto"/>
        <w:bottom w:val="none" w:sz="0" w:space="0" w:color="auto"/>
        <w:right w:val="none" w:sz="0" w:space="0" w:color="auto"/>
        <w:between w:val="none" w:sz="0" w:space="0" w:color="auto"/>
        <w:bar w:val="none" w:sz="0" w:color="auto"/>
      </w:pBdr>
      <w:tabs>
        <w:tab w:val="decimal" w:pos="360"/>
      </w:tabs>
      <w:spacing w:after="200" w:line="276" w:lineRule="auto"/>
    </w:pPr>
    <w:rPr>
      <w:rFonts w:asciiTheme="minorHAnsi" w:eastAsiaTheme="minorEastAsia" w:hAnsiTheme="minorHAnsi"/>
      <w:sz w:val="22"/>
      <w:szCs w:val="22"/>
      <w:bdr w:val="none" w:sz="0" w:space="0" w:color="auto"/>
    </w:rPr>
  </w:style>
  <w:style w:type="character" w:styleId="SubtleEmphasis">
    <w:name w:val="Subtle Emphasis"/>
    <w:basedOn w:val="DefaultParagraphFont"/>
    <w:uiPriority w:val="19"/>
    <w:qFormat/>
    <w:rsid w:val="005D5815"/>
    <w:rPr>
      <w:i/>
      <w:iCs/>
    </w:rPr>
  </w:style>
  <w:style w:type="table" w:styleId="MediumShading2-Accent5">
    <w:name w:val="Medium Shading 2 Accent 5"/>
    <w:basedOn w:val="TableNormal"/>
    <w:uiPriority w:val="64"/>
    <w:rsid w:val="005D581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lang w:val="en-US"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4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44E" w:themeFill="accent5"/>
      </w:tcPr>
    </w:tblStylePr>
    <w:tblStylePr w:type="lastCol">
      <w:rPr>
        <w:b/>
        <w:bCs/>
        <w:color w:val="FFFFFF" w:themeColor="background1"/>
      </w:rPr>
      <w:tblPr/>
      <w:tcPr>
        <w:tcBorders>
          <w:left w:val="nil"/>
          <w:right w:val="nil"/>
          <w:insideH w:val="nil"/>
          <w:insideV w:val="nil"/>
        </w:tcBorders>
        <w:shd w:val="clear" w:color="auto" w:fill="FF64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4487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26E2612-E950-40BA-B10D-3EE290C5C36F}">
  <we:reference id="wa102920437" version="1.3.1.1"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C84E9-75BE-4649-AC54-11A85F195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18</Pages>
  <Words>14696</Words>
  <Characters>83770</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Hughes</dc:creator>
  <cp:lastModifiedBy>Elizabeth Hughes</cp:lastModifiedBy>
  <cp:revision>6</cp:revision>
  <cp:lastPrinted>2018-12-01T17:59:00Z</cp:lastPrinted>
  <dcterms:created xsi:type="dcterms:W3CDTF">2018-12-10T09:22:00Z</dcterms:created>
  <dcterms:modified xsi:type="dcterms:W3CDTF">2018-12-10T10:25:00Z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http://www.zotero.org/styles/american-medical-association</vt:lpwstr>
  </property>
  <property fmtid="{D5CDD505-2E9C-101B-9397-08002B2CF9AE}" pid="24" name="Mendeley Unique User Id_1">
    <vt:lpwstr>a94310cc-299d-3e51-9bcf-b550cdf4c859</vt:lpwstr>
  </property>
</Properties>
</file>