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LegalBody"/></w:pPr><w:r><w:t xml:space="preserve">The purchase price is $87.3 million, payable in full on the Closing Date.</w:t></w:r></w:p><w:p><w:pPr><w:pStyle w:val="Heading1"/></w:pPr><w:r><w:t xml:space="preserve">Governing Law</w:t></w:r></w:p><w:p><w:r><w:t xml:space="preserve">This Agreement shall be governed by the laws of the Province of Ontario.</w:t></w:r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egalBody">
    <w:name w:val="Legal Body"/>
    <w:rPr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2026-08-03T21:45:24.419Z</dcterms:created>
  <dcterms:modified xsi:type="dcterms:W3CDTF">2026-08-03T21:45:24.419Z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