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839801" w14:textId="77777777" w:rsidR="001A276C" w:rsidRPr="00E92BE7" w:rsidRDefault="008117AE">
      <w:r w:rsidRPr="00E92BE7">
        <w:t>Gene Assignment: Gm</w:t>
      </w:r>
      <w:r w:rsidR="00175506" w:rsidRPr="00E92BE7">
        <w:t>7609</w:t>
      </w:r>
      <w:bookmarkStart w:id="0" w:name="_GoBack"/>
      <w:bookmarkEnd w:id="0"/>
    </w:p>
    <w:p w14:paraId="786B4011" w14:textId="77777777" w:rsidR="00F1573B" w:rsidRDefault="00F1573B">
      <w:r>
        <w:t>Elizabeth Nguyen</w:t>
      </w:r>
    </w:p>
    <w:p w14:paraId="4585C6FC" w14:textId="77777777" w:rsidR="00E92BE7" w:rsidRDefault="00E92BE7"/>
    <w:p w14:paraId="382F804C" w14:textId="77777777" w:rsidR="004F4585" w:rsidRPr="00F1573B" w:rsidRDefault="004F4585">
      <w:pPr>
        <w:rPr>
          <w:b/>
        </w:rPr>
      </w:pPr>
      <w:r w:rsidRPr="00F1573B">
        <w:rPr>
          <w:b/>
        </w:rPr>
        <w:t>Introduction</w:t>
      </w:r>
    </w:p>
    <w:p w14:paraId="1159B9C8" w14:textId="77777777" w:rsidR="00902C7C" w:rsidRDefault="002E2FD3">
      <w:r>
        <w:t xml:space="preserve">Gene </w:t>
      </w:r>
      <w:r w:rsidR="00FA574A">
        <w:t>clusters</w:t>
      </w:r>
      <w:r w:rsidR="006561A1">
        <w:t xml:space="preserve"> may</w:t>
      </w:r>
      <w:r w:rsidR="00FA574A">
        <w:t xml:space="preserve"> include large repeats of duplicated genes. </w:t>
      </w:r>
      <w:r w:rsidR="006561A1">
        <w:t xml:space="preserve">The </w:t>
      </w:r>
      <w:r w:rsidR="006561A1" w:rsidRPr="006561A1">
        <w:rPr>
          <w:i/>
        </w:rPr>
        <w:t>Sp100-rs</w:t>
      </w:r>
      <w:r w:rsidR="006561A1">
        <w:t xml:space="preserve"> </w:t>
      </w:r>
      <w:r w:rsidR="00FE1AF5">
        <w:t xml:space="preserve">repeat </w:t>
      </w:r>
      <w:r w:rsidR="006561A1">
        <w:t xml:space="preserve">cluster is </w:t>
      </w:r>
      <w:r w:rsidR="005773C3">
        <w:t xml:space="preserve">a long-range structure </w:t>
      </w:r>
      <w:r w:rsidR="006561A1">
        <w:t xml:space="preserve">found on chromosome 1 of the house mouse, </w:t>
      </w:r>
      <w:r w:rsidR="006561A1" w:rsidRPr="006561A1">
        <w:rPr>
          <w:i/>
        </w:rPr>
        <w:t>Mus musculus</w:t>
      </w:r>
      <w:r w:rsidR="006561A1">
        <w:t xml:space="preserve"> </w:t>
      </w:r>
      <w:r w:rsidR="006561A1">
        <w:fldChar w:fldCharType="begin"/>
      </w:r>
      <w:r w:rsidR="006561A1">
        <w:instrText xml:space="preserve"> ADDIN ZOTERO_ITEM CSL_CITATION {"citationID":"XG9tWF3H","properties":{"formattedCitation":"[1]","plainCitation":"[1]","noteIndex":0},"citationItems":[{"id":6,"uris":["http://zotero.org/users/local/UvGXGb0i/items/PPZDCZP2"],"uri":["http://zotero.org/users/local/UvGXGb0i/items/PPZDCZP2"],"itemData":{"id":6,"type":"article-journal","abstract":"By fluorescence in situ hybridization, we mapped the location of genes associated with the Sp100-rs cluster, a long-range repeat cluster in chromosome 1 of the house mouse, Mus musculus. The cluster comprises between 60 and 2000 repeats and extends over 6–200 Mb of the M. musculus genome, depending on the source of the cluster. The cluster evolved during the last two million years in the genus Mus in the lineage to which M. musculus belongs. The Asiatic mouse species M. caroli is not in this lineage and does not possess the cluster. M. caroli represents the ancestral genomic organization of the cluster source components Sp100, Csprs and Ifi75: they are located close to each other in the same chromosome band (1D). However, Sp100-rs, the principal gene of the cluster, is not present in the M. caroli genome. It is a chimeric M. musculus gene that arose by fusion of Csprs and the 5’ part of Sp100. Sp100-rs and Ifi75 are homogeneously distributed throughout the cluster while Sp100 and Csprs in its original sequence context flank the cluster on opposite sides. Our results suggest a model for the origin and evolution of the long-range repeat cluster by duplication, gene fusion and amplification.","container-title":"Chromosoma","DOI":"10.1007/s004120100152","ISSN":"0009-5915","issue":"4","journalAbbreviation":"Chromosoma","language":"en","page":"247-252","source":"DOI.org (Crossref)","title":"Evolution of a 6–200 Mb long-range repeat cluster in the genus Mus","volume":"110","author":[{"family":"Traut","given":"Walther"},{"family":"Rahn","given":"Irene M."},{"family":"Winking","given":"Heinz"},{"family":"Kunze","given":"Bärbel"},{"family":"Weichenhan","given":"Dieter"}],"issued":{"date-parts":[["2001",8]]}}}],"schema":"https://github.com/citation-style-language/schema/raw/master/csl-citation.json"} </w:instrText>
      </w:r>
      <w:r w:rsidR="006561A1">
        <w:fldChar w:fldCharType="separate"/>
      </w:r>
      <w:r w:rsidR="006561A1" w:rsidRPr="006561A1">
        <w:rPr>
          <w:rFonts w:ascii="Calibri" w:hAnsi="Calibri" w:cs="Calibri"/>
        </w:rPr>
        <w:t>[1]</w:t>
      </w:r>
      <w:r w:rsidR="006561A1">
        <w:fldChar w:fldCharType="end"/>
      </w:r>
      <w:r w:rsidR="006561A1">
        <w:t xml:space="preserve">. </w:t>
      </w:r>
      <w:r w:rsidR="001A689F">
        <w:t>Long</w:t>
      </w:r>
      <w:r w:rsidR="0038145B">
        <w:t xml:space="preserve"> repeat regions are extremely difficult to sequence and result in gaps in “complete” </w:t>
      </w:r>
      <w:r w:rsidR="0075121C">
        <w:t xml:space="preserve">genome </w:t>
      </w:r>
      <w:r w:rsidR="0038145B">
        <w:t>sequences</w:t>
      </w:r>
      <w:r w:rsidR="00237514">
        <w:t xml:space="preserve"> </w:t>
      </w:r>
      <w:r w:rsidR="00237514">
        <w:fldChar w:fldCharType="begin"/>
      </w:r>
      <w:r w:rsidR="00237514">
        <w:instrText xml:space="preserve"> ADDIN ZOTERO_ITEM CSL_CITATION {"citationID":"XXKHqI5F","properties":{"formattedCitation":"[2]","plainCitation":"[2]","noteIndex":0},"citationItems":[{"id":10,"uris":["http://zotero.org/users/local/UvGXGb0i/items/KMJ8K5WH"],"uri":["http://zotero.org/users/local/UvGXGb0i/items/KMJ8K5WH"],"itemData":{"id":10,"type":"article-journal","abstract":"Repeat sequences in DNA remain one of the most challenging aspects of next-generation sequencing data analysis and interpretation. This Review explains the problems and current strategies for handling repeats; ignoring repeats risks missing important biological information.","container-title":"Nature Reviews Genetics","DOI":"10.1038/nrg3117","ISSN":"1471-0064","issue":"1","journalAbbreviation":"Nat Rev Genet","language":"en","page":"36-46","source":"www.nature.com","title":"Repetitive DNA and next-generation sequencing: computational challenges and solutions","title-short":"Repetitive DNA and next-generation sequencing","volume":"13","author":[{"family":"Treangen","given":"Todd J."},{"family":"Salzberg","given":"Steven L."}],"issued":{"date-parts":[["2012",1]]}}}],"schema":"https://github.com/citation-style-language/schema/raw/master/csl-citation.json"} </w:instrText>
      </w:r>
      <w:r w:rsidR="00237514">
        <w:fldChar w:fldCharType="separate"/>
      </w:r>
      <w:r w:rsidR="00237514" w:rsidRPr="00237514">
        <w:rPr>
          <w:rFonts w:ascii="Calibri" w:hAnsi="Calibri" w:cs="Calibri"/>
        </w:rPr>
        <w:t>[2]</w:t>
      </w:r>
      <w:r w:rsidR="00237514">
        <w:fldChar w:fldCharType="end"/>
      </w:r>
      <w:r w:rsidR="0038145B">
        <w:t xml:space="preserve">. </w:t>
      </w:r>
      <w:r w:rsidR="00217B2E">
        <w:t xml:space="preserve">The </w:t>
      </w:r>
      <w:r w:rsidR="00217B2E" w:rsidRPr="001B434A">
        <w:rPr>
          <w:i/>
        </w:rPr>
        <w:t>Sp100-rs</w:t>
      </w:r>
      <w:r w:rsidR="00217B2E">
        <w:t xml:space="preserve"> gene is a chimeric fusion of </w:t>
      </w:r>
      <w:r w:rsidR="00217B2E" w:rsidRPr="00C32233">
        <w:rPr>
          <w:i/>
        </w:rPr>
        <w:t>Sp100</w:t>
      </w:r>
      <w:r w:rsidR="00217B2E">
        <w:t xml:space="preserve"> and </w:t>
      </w:r>
      <w:r w:rsidR="00217B2E" w:rsidRPr="00C32233">
        <w:rPr>
          <w:i/>
        </w:rPr>
        <w:t>Csprs</w:t>
      </w:r>
      <w:r w:rsidR="00217B2E">
        <w:t xml:space="preserve">, two other genes associated with the </w:t>
      </w:r>
      <w:r w:rsidR="00217B2E" w:rsidRPr="006561A1">
        <w:rPr>
          <w:i/>
        </w:rPr>
        <w:t>Sp100-rs</w:t>
      </w:r>
      <w:r w:rsidR="00217B2E">
        <w:t xml:space="preserve"> cluster </w:t>
      </w:r>
      <w:r w:rsidR="00A258CC">
        <w:fldChar w:fldCharType="begin"/>
      </w:r>
      <w:r w:rsidR="00A258CC">
        <w:instrText xml:space="preserve"> ADDIN ZOTERO_ITEM CSL_CITATION {"citationID":"fwMDzIou","properties":{"formattedCitation":"[1]","plainCitation":"[1]","noteIndex":0},"citationItems":[{"id":6,"uris":["http://zotero.org/users/local/UvGXGb0i/items/PPZDCZP2"],"uri":["http://zotero.org/users/local/UvGXGb0i/items/PPZDCZP2"],"itemData":{"id":6,"type":"article-journal","abstract":"By fluorescence in situ hybridization, we mapped the location of genes associated with the Sp100-rs cluster, a long-range repeat cluster in chromosome 1 of the house mouse, Mus musculus. The cluster comprises between 60 and 2000 repeats and extends over 6–200 Mb of the M. musculus genome, depending on the source of the cluster. The cluster evolved during the last two million years in the genus Mus in the lineage to which M. musculus belongs. The Asiatic mouse species M. caroli is not in this lineage and does not possess the cluster. M. caroli represents the ancestral genomic organization of the cluster source components Sp100, Csprs and Ifi75: they are located close to each other in the same chromosome band (1D). However, Sp100-rs, the principal gene of the cluster, is not present in the M. caroli genome. It is a chimeric M. musculus gene that arose by fusion of Csprs and the 5’ part of Sp100. Sp100-rs and Ifi75 are homogeneously distributed throughout the cluster while Sp100 and Csprs in its original sequence context flank the cluster on opposite sides. Our results suggest a model for the origin and evolution of the long-range repeat cluster by duplication, gene fusion and amplification.","container-title":"Chromosoma","DOI":"10.1007/s004120100152","ISSN":"0009-5915","issue":"4","journalAbbreviation":"Chromosoma","language":"en","page":"247-252","source":"DOI.org (Crossref)","title":"Evolution of a 6–200 Mb long-range repeat cluster in the genus Mus","volume":"110","author":[{"family":"Traut","given":"Walther"},{"family":"Rahn","given":"Irene M."},{"family":"Winking","given":"Heinz"},{"family":"Kunze","given":"Bärbel"},{"family":"Weichenhan","given":"Dieter"}],"issued":{"date-parts":[["2001",8]]}}}],"schema":"https://github.com/citation-style-language/schema/raw/master/csl-citation.json"} </w:instrText>
      </w:r>
      <w:r w:rsidR="00A258CC">
        <w:fldChar w:fldCharType="separate"/>
      </w:r>
      <w:r w:rsidR="00A258CC" w:rsidRPr="00A258CC">
        <w:rPr>
          <w:rFonts w:ascii="Calibri" w:hAnsi="Calibri" w:cs="Calibri"/>
        </w:rPr>
        <w:t>[1]</w:t>
      </w:r>
      <w:r w:rsidR="00A258CC">
        <w:fldChar w:fldCharType="end"/>
      </w:r>
      <w:r w:rsidR="00C32233">
        <w:t xml:space="preserve">. </w:t>
      </w:r>
      <w:r w:rsidR="00217B2E">
        <w:t xml:space="preserve">The </w:t>
      </w:r>
      <w:r w:rsidR="00217B2E" w:rsidRPr="00C32233">
        <w:rPr>
          <w:i/>
        </w:rPr>
        <w:t>predicted pseudogene 7609</w:t>
      </w:r>
      <w:r w:rsidR="00217B2E">
        <w:t xml:space="preserve">, or </w:t>
      </w:r>
      <w:r w:rsidR="00217B2E" w:rsidRPr="00C32233">
        <w:rPr>
          <w:i/>
        </w:rPr>
        <w:t>Gm7609</w:t>
      </w:r>
      <w:r w:rsidR="00217B2E">
        <w:t xml:space="preserve">, is one of many </w:t>
      </w:r>
      <w:r w:rsidR="00B521A2">
        <w:t xml:space="preserve">variable </w:t>
      </w:r>
      <w:r w:rsidR="00217B2E">
        <w:t xml:space="preserve">copies of the </w:t>
      </w:r>
      <w:r w:rsidR="00217B2E" w:rsidRPr="001B434A">
        <w:rPr>
          <w:i/>
        </w:rPr>
        <w:t>Sp100-rs</w:t>
      </w:r>
      <w:r w:rsidR="00217B2E">
        <w:t xml:space="preserve"> gene</w:t>
      </w:r>
      <w:r w:rsidR="00C33586">
        <w:t xml:space="preserve"> resulting from duplication</w:t>
      </w:r>
      <w:r w:rsidR="00B521A2">
        <w:t xml:space="preserve">. </w:t>
      </w:r>
      <w:r w:rsidR="00D20540">
        <w:t xml:space="preserve">NCBI classifies this </w:t>
      </w:r>
      <w:r w:rsidR="00D20540" w:rsidRPr="00D20540">
        <w:rPr>
          <w:i/>
        </w:rPr>
        <w:t>Gm7609</w:t>
      </w:r>
      <w:r w:rsidR="00D20540">
        <w:t xml:space="preserve"> as a protein coding gene because its coding sequence appears to be intact. However,</w:t>
      </w:r>
      <w:r w:rsidR="00796B45">
        <w:t xml:space="preserve"> it is unclear whether this gene is transcribed </w:t>
      </w:r>
      <w:r w:rsidR="00796B45" w:rsidRPr="001B3FF8">
        <w:rPr>
          <w:i/>
        </w:rPr>
        <w:t>in vivo</w:t>
      </w:r>
      <w:r w:rsidR="00D20540">
        <w:t>. A</w:t>
      </w:r>
      <w:r w:rsidR="00D22147">
        <w:t xml:space="preserve">nnotating </w:t>
      </w:r>
      <w:r w:rsidR="002C1728" w:rsidRPr="00C32233">
        <w:rPr>
          <w:i/>
        </w:rPr>
        <w:t>Gm7609</w:t>
      </w:r>
      <w:r w:rsidR="002C1728">
        <w:rPr>
          <w:i/>
        </w:rPr>
        <w:t xml:space="preserve"> </w:t>
      </w:r>
      <w:r w:rsidR="00D22147">
        <w:t xml:space="preserve">will help to close a gap in the </w:t>
      </w:r>
      <w:r w:rsidR="00D22147" w:rsidRPr="006561A1">
        <w:rPr>
          <w:i/>
        </w:rPr>
        <w:t>Mus musculus</w:t>
      </w:r>
      <w:r w:rsidR="00D22147">
        <w:t xml:space="preserve"> genome.</w:t>
      </w:r>
    </w:p>
    <w:p w14:paraId="3A38DCC9" w14:textId="77777777" w:rsidR="0069515E" w:rsidRDefault="0069515E"/>
    <w:p w14:paraId="327AEE87" w14:textId="77777777" w:rsidR="004F4585" w:rsidRPr="005139DD" w:rsidRDefault="004F4585">
      <w:pPr>
        <w:rPr>
          <w:b/>
        </w:rPr>
      </w:pPr>
      <w:r w:rsidRPr="005139DD">
        <w:rPr>
          <w:b/>
        </w:rPr>
        <w:t>Methods</w:t>
      </w:r>
    </w:p>
    <w:p w14:paraId="311D6CE9" w14:textId="77777777" w:rsidR="003604B7" w:rsidRDefault="006F52FA">
      <w:r>
        <w:t xml:space="preserve">I </w:t>
      </w:r>
      <w:r w:rsidR="00FD76D9">
        <w:t xml:space="preserve">first </w:t>
      </w:r>
      <w:r>
        <w:t>searched for Gm76</w:t>
      </w:r>
      <w:r w:rsidR="0011473F">
        <w:t xml:space="preserve">09 using the NCBI gene database, </w:t>
      </w:r>
      <w:r w:rsidR="001869B1">
        <w:t>the Ensembl genome browser</w:t>
      </w:r>
      <w:r w:rsidR="0011473F">
        <w:t>, and the USCB genome browser</w:t>
      </w:r>
      <w:r w:rsidR="001869B1">
        <w:t>.</w:t>
      </w:r>
      <w:r w:rsidR="00FD76D9">
        <w:t xml:space="preserve"> </w:t>
      </w:r>
      <w:r w:rsidR="00591DCF">
        <w:t xml:space="preserve">For </w:t>
      </w:r>
      <w:r w:rsidR="000F2509">
        <w:t>furthe</w:t>
      </w:r>
      <w:r w:rsidR="0011467B">
        <w:t>r analyses, I choose to use the NCBI gene accession number NC_000067.6 and the</w:t>
      </w:r>
      <w:r w:rsidR="000F2509">
        <w:t xml:space="preserve"> </w:t>
      </w:r>
      <w:r w:rsidR="00591DCF">
        <w:t xml:space="preserve">curated protein associated with </w:t>
      </w:r>
      <w:r w:rsidR="00591DCF" w:rsidRPr="00105307">
        <w:rPr>
          <w:i/>
        </w:rPr>
        <w:t>Gm7609</w:t>
      </w:r>
      <w:r w:rsidR="00591DCF">
        <w:t xml:space="preserve"> provided by NCBI under </w:t>
      </w:r>
      <w:r w:rsidR="00591DCF" w:rsidRPr="00FD76D9">
        <w:t>NP_001075215.1</w:t>
      </w:r>
      <w:r w:rsidR="003604B7">
        <w:t>.</w:t>
      </w:r>
    </w:p>
    <w:p w14:paraId="50E80581" w14:textId="77777777" w:rsidR="0069515E" w:rsidRDefault="0069515E"/>
    <w:p w14:paraId="7027FE0D" w14:textId="77777777" w:rsidR="004F4585" w:rsidRPr="00455E67" w:rsidRDefault="004F4585">
      <w:pPr>
        <w:rPr>
          <w:b/>
        </w:rPr>
      </w:pPr>
      <w:r w:rsidRPr="00455E67">
        <w:rPr>
          <w:b/>
        </w:rPr>
        <w:t>Results</w:t>
      </w:r>
    </w:p>
    <w:p w14:paraId="494A30E8" w14:textId="77777777" w:rsidR="00592F32" w:rsidRDefault="0069515E">
      <w:r>
        <w:rPr>
          <w:b/>
        </w:rPr>
        <w:t>S</w:t>
      </w:r>
      <w:r w:rsidR="00560E02" w:rsidRPr="00560E02">
        <w:rPr>
          <w:b/>
        </w:rPr>
        <w:t>tructure:</w:t>
      </w:r>
      <w:r w:rsidR="00560E02">
        <w:t xml:space="preserve"> </w:t>
      </w:r>
      <w:r w:rsidR="007C23A2">
        <w:t xml:space="preserve">I first wanted to structurally annotate this gene. </w:t>
      </w:r>
      <w:r w:rsidR="00902C7C">
        <w:t>According to</w:t>
      </w:r>
      <w:r w:rsidR="00FC3A14">
        <w:t xml:space="preserve"> the</w:t>
      </w:r>
      <w:r w:rsidR="00902C7C">
        <w:t xml:space="preserve"> NCBI</w:t>
      </w:r>
      <w:r w:rsidR="00FC3A14">
        <w:t xml:space="preserve"> gene page</w:t>
      </w:r>
      <w:r w:rsidR="00902C7C">
        <w:t xml:space="preserve"> (accessed 3/4</w:t>
      </w:r>
      <w:r w:rsidR="006F52FA">
        <w:t xml:space="preserve">/2020; updated 1/23/2020), </w:t>
      </w:r>
      <w:r w:rsidR="002E7B89">
        <w:t>thi</w:t>
      </w:r>
      <w:r w:rsidR="002A0256">
        <w:t>s 6 exon gene has 5 transcripts</w:t>
      </w:r>
      <w:r w:rsidR="000F2509">
        <w:t>.</w:t>
      </w:r>
      <w:r w:rsidR="00FC2652">
        <w:t xml:space="preserve"> </w:t>
      </w:r>
      <w:r w:rsidR="006266F4">
        <w:t>However, upon examining the transcript</w:t>
      </w:r>
      <w:r w:rsidR="00FC3A14">
        <w:t xml:space="preserve">s sequenced in NCBI </w:t>
      </w:r>
      <w:r w:rsidR="00FC3A14" w:rsidRPr="00C7636A">
        <w:rPr>
          <w:i/>
        </w:rPr>
        <w:t>Mus musculus</w:t>
      </w:r>
      <w:r w:rsidR="00FC3A14">
        <w:t xml:space="preserve"> Annotation Release 108</w:t>
      </w:r>
      <w:r w:rsidR="00513570">
        <w:t xml:space="preserve"> (8/10/2019)</w:t>
      </w:r>
      <w:r w:rsidR="00FC3A14">
        <w:t xml:space="preserve">, </w:t>
      </w:r>
      <w:r w:rsidR="006266F4">
        <w:t xml:space="preserve">they </w:t>
      </w:r>
      <w:r w:rsidR="00455E67">
        <w:t xml:space="preserve">appear to </w:t>
      </w:r>
      <w:r w:rsidR="006266F4">
        <w:t>on</w:t>
      </w:r>
      <w:r w:rsidR="00C7636A">
        <w:t>ly have 3-5 exons each (Figure 1</w:t>
      </w:r>
      <w:r w:rsidR="00813728">
        <w:t>A</w:t>
      </w:r>
      <w:r w:rsidR="006266F4">
        <w:t>).</w:t>
      </w:r>
      <w:r w:rsidR="00FC3A14">
        <w:t xml:space="preserve"> </w:t>
      </w:r>
      <w:r w:rsidR="001869B1">
        <w:t>In contrast to the NCBI result</w:t>
      </w:r>
      <w:r w:rsidR="00FC3A14">
        <w:t>(s)</w:t>
      </w:r>
      <w:r w:rsidR="001869B1">
        <w:t>, a</w:t>
      </w:r>
      <w:r w:rsidR="008117AE">
        <w:t xml:space="preserve"> search for </w:t>
      </w:r>
      <w:r w:rsidR="008117AE" w:rsidRPr="00C7636A">
        <w:rPr>
          <w:i/>
        </w:rPr>
        <w:t>Gm7609</w:t>
      </w:r>
      <w:r w:rsidR="008117AE">
        <w:t xml:space="preserve"> using Ensembl </w:t>
      </w:r>
      <w:r w:rsidR="001869B1">
        <w:t>(</w:t>
      </w:r>
      <w:r w:rsidR="00DD4C58">
        <w:t xml:space="preserve">accessed </w:t>
      </w:r>
      <w:r w:rsidR="001869B1">
        <w:t>3/4</w:t>
      </w:r>
      <w:r w:rsidR="006F52FA">
        <w:t>/2010</w:t>
      </w:r>
      <w:r w:rsidR="00DD4C58">
        <w:t>; release 99</w:t>
      </w:r>
      <w:r w:rsidR="00513570">
        <w:t>, 1/16/2020</w:t>
      </w:r>
      <w:r w:rsidR="006F52FA">
        <w:t xml:space="preserve">) </w:t>
      </w:r>
      <w:r w:rsidR="001869B1">
        <w:t xml:space="preserve">only associates </w:t>
      </w:r>
      <w:r w:rsidR="00C91A64">
        <w:t xml:space="preserve">it </w:t>
      </w:r>
      <w:r w:rsidR="001869B1">
        <w:t>with</w:t>
      </w:r>
      <w:r w:rsidR="008117AE">
        <w:t xml:space="preserve"> two transcripts</w:t>
      </w:r>
      <w:r w:rsidR="00FC2652">
        <w:t xml:space="preserve">, </w:t>
      </w:r>
      <w:r w:rsidR="00FC2652" w:rsidRPr="00C7636A">
        <w:rPr>
          <w:i/>
        </w:rPr>
        <w:t>Gm7609-201</w:t>
      </w:r>
      <w:r w:rsidR="00FC2652">
        <w:t xml:space="preserve"> and </w:t>
      </w:r>
      <w:r w:rsidR="00FC2652" w:rsidRPr="00C7636A">
        <w:rPr>
          <w:i/>
        </w:rPr>
        <w:t>Gm7609-202</w:t>
      </w:r>
      <w:r w:rsidR="00FC2652">
        <w:t xml:space="preserve">, with </w:t>
      </w:r>
      <w:r w:rsidR="00FC3A14">
        <w:t>4 and 3 exons respectively</w:t>
      </w:r>
      <w:r w:rsidR="00C7636A">
        <w:t xml:space="preserve"> (Figure 1</w:t>
      </w:r>
      <w:r w:rsidR="00813728">
        <w:t>B</w:t>
      </w:r>
      <w:r w:rsidR="00B21D54">
        <w:t>)</w:t>
      </w:r>
      <w:r w:rsidR="008117AE">
        <w:t xml:space="preserve">. </w:t>
      </w:r>
      <w:r w:rsidR="00127DAA">
        <w:t>The UCSB Genome Browser (GRCm38/mm10) displays 4 tran</w:t>
      </w:r>
      <w:r w:rsidR="00C7636A">
        <w:t>scripts with 2-4 exons (Figure 1</w:t>
      </w:r>
      <w:r w:rsidR="00107730">
        <w:t>C</w:t>
      </w:r>
      <w:r w:rsidR="00127DAA">
        <w:t xml:space="preserve">). </w:t>
      </w:r>
      <w:r w:rsidR="009873B1">
        <w:t xml:space="preserve">These discrepancies between major genome browsers speak to the </w:t>
      </w:r>
      <w:r w:rsidR="00AC388A">
        <w:t>poor annotation</w:t>
      </w:r>
      <w:r w:rsidR="009873B1">
        <w:t xml:space="preserve"> regarding this gene.</w:t>
      </w:r>
    </w:p>
    <w:p w14:paraId="3E431B9C" w14:textId="77777777" w:rsidR="009C148B" w:rsidRDefault="009C148B">
      <w:pPr>
        <w:rPr>
          <w:rStyle w:val="titlestyletitle-id-domain06"/>
        </w:rPr>
      </w:pPr>
      <w:r w:rsidRPr="009C148B">
        <w:rPr>
          <w:b/>
        </w:rPr>
        <w:t>Function:</w:t>
      </w:r>
      <w:r>
        <w:t xml:space="preserve"> In order to identify the putative function of the protein associated with </w:t>
      </w:r>
      <w:r w:rsidRPr="00835761">
        <w:rPr>
          <w:i/>
        </w:rPr>
        <w:t>Gm7609</w:t>
      </w:r>
      <w:r>
        <w:t xml:space="preserve">, I submitted the protein query to the National Library of Medicine’s Conserved Domain Database </w:t>
      </w:r>
      <w:r>
        <w:fldChar w:fldCharType="begin"/>
      </w:r>
      <w:r>
        <w:instrText xml:space="preserve"> ADDIN ZOTERO_ITEM CSL_CITATION {"citationID":"d3LtM9WS","properties":{"formattedCitation":"[3]","plainCitation":"[3]","noteIndex":0},"citationItems":[{"id":25,"uris":["http://zotero.org/users/local/UvGXGb0i/items/CXEJVRUC"],"uri":["http://zotero.org/users/local/UvGXGb0i/items/CXEJVRUC"],"itemData":{"id":25,"type":"article-journal","abstract":"As NLM’s Conserved Domain Database (CDD) enters its 20th year of operations as a publicly available resource, CDD curation staff continues to develop hierarchical classifications of widely distributed protein domain families, and to record conserved sites associated with molecular function, so that they can be mapped onto user queries in support of hypothesis-driven biomolecular research. CDD offers both an archive of pre-computed domain annotations as well as live search services for both single protein or nucleotide queries and larger sets of protein query sequences. CDD staff has continued to characterize protein families via conserved domain architectures and has built up a significant corpus of curated domain architectures in support of naming bacterial proteins in RefSeq. These architecture definitions are available via SPARCLE, the Subfamily Protein Architecture Labeling Engine. CDD can be accessed at https://www.ncbi.nlm.nih.gov/Structure/cdd/cdd.shtml.","container-title":"Nucleic Acids Research","DOI":"10.1093/nar/gkz991","ISSN":"0305-1048","issue":"D1","journalAbbreviation":"Nucleic Acids Res","note":"PMID: 31777944\nPMCID: PMC6943070","page":"D265-D268","source":"PubMed Central","title":"CDD/SPARCLE: the conserved domain database in 2020","title-short":"CDD/SPARCLE","volume":"48","author":[{"family":"Lu","given":"Shennan"},{"family":"Wang","given":"Jiyao"},{"family":"Chitsaz","given":"Farideh"},{"family":"Derbyshire","given":"Myra K"},{"family":"Geer","given":"Renata C"},{"family":"Gonzales","given":"Noreen R"},{"family":"Gwadz","given":"Marc"},{"family":"Hurwitz","given":"David I"},{"family":"Marchler","given":"Gabriele H"},{"family":"Song","given":"James S"},{"family":"Thanki","given":"Narmada"},{"family":"Yamashita","given":"Roxanne A"},{"family":"Yang","given":"Mingzhang"},{"family":"Zhang","given":"Dachuan"},{"family":"Zheng","given":"Chanjuan"},{"family":"Lanczycki","given":"Christopher J"},{"family":"Marchler-Bauer","given":"Aron"}],"issued":{"date-parts":[["2020",1,8]]}}}],"schema":"https://github.com/citation-style-language/schema/raw/master/csl-citation.json"} </w:instrText>
      </w:r>
      <w:r>
        <w:fldChar w:fldCharType="separate"/>
      </w:r>
      <w:r w:rsidRPr="009C148B">
        <w:rPr>
          <w:rFonts w:ascii="Calibri" w:hAnsi="Calibri" w:cs="Calibri"/>
        </w:rPr>
        <w:t>[3]</w:t>
      </w:r>
      <w:r>
        <w:fldChar w:fldCharType="end"/>
      </w:r>
      <w:r>
        <w:t xml:space="preserve"> through NCBI. O</w:t>
      </w:r>
      <w:r w:rsidR="00835761">
        <w:t>nly o</w:t>
      </w:r>
      <w:r>
        <w:t>ne conserved domain was found between position 106-235</w:t>
      </w:r>
      <w:r w:rsidR="00D32924">
        <w:t xml:space="preserve"> (E-value 1.24e-04)</w:t>
      </w:r>
      <w:r>
        <w:t>: 7tm_1 super family (accession #</w:t>
      </w:r>
      <w:r w:rsidRPr="009C148B">
        <w:t xml:space="preserve"> </w:t>
      </w:r>
      <w:r w:rsidRPr="00835761">
        <w:t>cl37946</w:t>
      </w:r>
      <w:r>
        <w:t>)</w:t>
      </w:r>
      <w:r w:rsidR="00A36F6D">
        <w:t xml:space="preserve"> detected with </w:t>
      </w:r>
      <w:r w:rsidR="00A36F6D" w:rsidRPr="00835761">
        <w:t>pfam00001</w:t>
      </w:r>
      <w:r>
        <w:t xml:space="preserve">. This 7 transmembrane receptor of the rhodopsin family </w:t>
      </w:r>
      <w:r w:rsidR="00A31EAE">
        <w:t>conta</w:t>
      </w:r>
      <w:r w:rsidR="0042099C">
        <w:t xml:space="preserve">ins G-protein coupled receptors, including </w:t>
      </w:r>
      <w:r w:rsidR="00A31EAE">
        <w:t xml:space="preserve">opsins. </w:t>
      </w:r>
      <w:r w:rsidR="00FF28EE">
        <w:t xml:space="preserve">Running the protein query through blastp (protein-protein blast) against the Non-redundant protein sequences (nr) database </w:t>
      </w:r>
      <w:r w:rsidR="005A0D8C">
        <w:fldChar w:fldCharType="begin"/>
      </w:r>
      <w:r w:rsidR="005A0D8C">
        <w:instrText xml:space="preserve"> ADDIN ZOTERO_ITEM CSL_CITATION {"citationID":"Iv2xj8YY","properties":{"formattedCitation":"[4]","plainCitation":"[4]","noteIndex":0},"citationItems":[{"id":31,"uris":["http://zotero.org/users/local/UvGXGb0i/items/6WSRPSL2"],"uri":["http://zotero.org/users/local/UvGXGb0i/items/6WSRPSL2"],"itemData":{"id":31,"type":"article-journal","abstract":"The National Center for Biotechnology Information (NCBI) provides a large suite of online resources for biological information and data, including the GenBank® nucleic acid sequence database and the PubMed database of citations and abstracts for published life science journals. The Entrez system provides search and retrieval operations for most of these data from 39 distinct databases. The E-utilities serve as the programming interface for the Entrez system. Augmenting many of the Web applications are custom implementations of the BLAST program optimized to search specialized data sets. New resources released in the past year include PubMed Data Management, RefSeq Functional Elements, genome data download, variation services API, Magic-BLAST, QuickBLASTp, and Identical Protein Groups. Resources that were updated in the past year include the genome data viewer, a human genome resources page, Gene, virus variation, OSIRIS, and PubChem. All of these resources can be accessed through the NCBI home page at www.ncbi.nlm.nih.gov.","container-title":"Nucleic Acids Research","DOI":"10.1093/nar/gkx1095","ISSN":"0305-1048","issue":"Database issue","journalAbbreviation":"Nucleic Acids Res","note":"PMID: 29140470\nPMCID: PMC5753372","page":"D8-D13","source":"PubMed Central","title":"Database resources of the National Center for Biotechnology Information","volume":"46","issued":{"date-parts":[["2018",1,4]]}}}],"schema":"https://github.com/citation-style-language/schema/raw/master/csl-citation.json"} </w:instrText>
      </w:r>
      <w:r w:rsidR="005A0D8C">
        <w:fldChar w:fldCharType="separate"/>
      </w:r>
      <w:r w:rsidR="005A0D8C" w:rsidRPr="005A0D8C">
        <w:rPr>
          <w:rFonts w:ascii="Calibri" w:hAnsi="Calibri" w:cs="Calibri"/>
        </w:rPr>
        <w:t>[4]</w:t>
      </w:r>
      <w:r w:rsidR="005A0D8C">
        <w:fldChar w:fldCharType="end"/>
      </w:r>
      <w:r w:rsidR="00422033">
        <w:t xml:space="preserve"> </w:t>
      </w:r>
      <w:r w:rsidR="00FF28EE">
        <w:t xml:space="preserve">identified numerous proteins with high query coverage and sequence identity. </w:t>
      </w:r>
      <w:r w:rsidR="006D42EF">
        <w:t>As expected, many of these proteins we</w:t>
      </w:r>
      <w:r w:rsidR="00636DBF">
        <w:t xml:space="preserve">re G-protein coupled receptors </w:t>
      </w:r>
      <w:r w:rsidR="00FB3655">
        <w:t>or Sp100-rs or Csprs protein-</w:t>
      </w:r>
      <w:r w:rsidR="00636DBF">
        <w:t>related.</w:t>
      </w:r>
      <w:r w:rsidR="00340804">
        <w:t xml:space="preserve"> Submitting the FASTA file for </w:t>
      </w:r>
      <w:r w:rsidR="00340804" w:rsidRPr="00FD76D9">
        <w:t>NP_001075215.1</w:t>
      </w:r>
      <w:r w:rsidR="00340804">
        <w:t xml:space="preserve"> to Interpro sequence analyses</w:t>
      </w:r>
      <w:r w:rsidR="005A5752">
        <w:t xml:space="preserve"> </w:t>
      </w:r>
      <w:r w:rsidR="005A5752">
        <w:fldChar w:fldCharType="begin"/>
      </w:r>
      <w:r w:rsidR="005A0D8C">
        <w:instrText xml:space="preserve"> ADDIN ZOTERO_ITEM CSL_CITATION {"citationID":"CtPWxlH7","properties":{"formattedCitation":"[5]","plainCitation":"[5]","noteIndex":0},"citationItems":[{"id":34,"uris":["http://zotero.org/users/local/UvGXGb0i/items/GHFUEANI"],"uri":["http://zotero.org/users/local/UvGXGb0i/items/GHFUEANI"],"itemData":{"id":34,"type":"article-journal","abstract":"The InterPro database (http://www.ebi.ac.uk/interpro/) classifies protein sequences into families and predicts the presence of functionally important domains and sites. Here, we report recent developments with InterPro (version 70.0) and its associated software, including an 18% growth in the size of the database in terms on new InterPro entries, updates to content, the inclusion of an additional entry type, refined modelling of discontinuous domains, and the development of a new programmatic interface and website. These developments extend and enrich the information provided by InterPro, and provide greater flexibility in terms of data access. We also show that InterPro's sequence coverage has kept pace with the growth of UniProtKB, and discuss how our evaluation of residue coverage may help guide future curation activities.","container-title":"Nucleic Acids Research","DOI":"10.1093/nar/gky1100","ISSN":"0305-1048","issue":"Database issue","journalAbbreviation":"Nucleic Acids Res","note":"PMID: 30398656\nPMCID: PMC6323941","page":"D351-D360","source":"PubMed Central","title":"InterPro in 2019: improving coverage, classification and access to protein sequence annotations","title-short":"InterPro in 2019","volume":"47","author":[{"family":"Mitchell","given":"Alex L"},{"family":"Attwood","given":"Teresa K"},{"family":"Babbitt","given":"Patricia C"},{"family":"Blum","given":"Matthias"},{"family":"Bork","given":"Peer"},{"family":"Bridge","given":"Alan"},{"family":"Brown","given":"Shoshana D"},{"family":"Chang","given":"Hsin-Yu"},{"family":"El-Gebali","given":"Sara"},{"family":"Fraser","given":"Matthew I"},{"family":"Gough","given":"Julian"},{"family":"Haft","given":"David R"},{"family":"Huang","given":"Hongzhan"},{"family":"Letunic","given":"Ivica"},{"family":"Lopez","given":"Rodrigo"},{"family":"Luciani","given":"Aurélien"},{"family":"Madeira","given":"Fabio"},{"family":"Marchler-Bauer","given":"Aron"},{"family":"Mi","given":"Huaiyu"},{"family":"Natale","given":"Darren A"},{"family":"Necci","given":"Marco"},{"family":"Nuka","given":"Gift"},{"family":"Orengo","given":"Christine"},{"family":"Pandurangan","given":"Arun P"},{"family":"Paysan-Lafosse","given":"Typhaine"},{"family":"Pesseat","given":"Sebastien"},{"family":"Potter","given":"Simon C"},{"family":"Qureshi","given":"Matloob A"},{"family":"Rawlings","given":"Neil D"},{"family":"Redaschi","given":"Nicole"},{"family":"Richardson","given":"Lorna J"},{"family":"Rivoire","given":"Catherine"},{"family":"Salazar","given":"Gustavo A"},{"family":"Sangrador-Vegas","given":"Amaia"},{"family":"Sigrist","given":"Christian J A"},{"family":"Sillitoe","given":"Ian"},{"family":"Sutton","given":"Granger G"},{"family":"Thanki","given":"Narmada"},{"family":"Thomas","given":"Paul D"},{"family":"Tosatto","given":"Silvio C E"},{"family":"Yong","given":"Siew-Yit"},{"family":"Finn","given":"Robert D"}],"issued":{"date-parts":[["2019",1,8]]}}}],"schema":"https://github.com/citation-style-language/schema/raw/master/csl-citation.json"} </w:instrText>
      </w:r>
      <w:r w:rsidR="005A5752">
        <w:fldChar w:fldCharType="separate"/>
      </w:r>
      <w:r w:rsidR="005A0D8C" w:rsidRPr="005A0D8C">
        <w:rPr>
          <w:rFonts w:ascii="Calibri" w:hAnsi="Calibri" w:cs="Calibri"/>
        </w:rPr>
        <w:t>[5]</w:t>
      </w:r>
      <w:r w:rsidR="005A5752">
        <w:fldChar w:fldCharType="end"/>
      </w:r>
      <w:r w:rsidR="00340804">
        <w:t xml:space="preserve"> also found the 7 transmembrane GPCR rhodopsin-like domain (</w:t>
      </w:r>
      <w:r w:rsidR="00340804">
        <w:rPr>
          <w:rStyle w:val="titlestyletitle-id-domain06"/>
        </w:rPr>
        <w:t>IPR017452</w:t>
      </w:r>
      <w:r w:rsidR="001F3DE4">
        <w:rPr>
          <w:rStyle w:val="titlestyletitle-id-domain06"/>
        </w:rPr>
        <w:t xml:space="preserve">). Submitting </w:t>
      </w:r>
      <w:r w:rsidR="001F3DE4" w:rsidRPr="00835761">
        <w:rPr>
          <w:rStyle w:val="titlestyletitle-id-domain06"/>
          <w:i/>
        </w:rPr>
        <w:t>Gm7609</w:t>
      </w:r>
      <w:r w:rsidR="001F3DE4">
        <w:rPr>
          <w:rStyle w:val="titlestyletitle-id-domain06"/>
        </w:rPr>
        <w:t xml:space="preserve"> to AmiGO2 powered by PANTHER produced no </w:t>
      </w:r>
      <w:r w:rsidR="001F3DE4">
        <w:rPr>
          <w:rStyle w:val="titlestyletitle-id-domain06"/>
        </w:rPr>
        <w:lastRenderedPageBreak/>
        <w:t>significant results for biological process, molecular function, or cellular component.</w:t>
      </w:r>
      <w:r w:rsidR="00F15FBC">
        <w:rPr>
          <w:rStyle w:val="titlestyletitle-id-domain06"/>
        </w:rPr>
        <w:t xml:space="preserve"> Submitting </w:t>
      </w:r>
      <w:r w:rsidR="00F15FBC" w:rsidRPr="00835761">
        <w:rPr>
          <w:rStyle w:val="titlestyletitle-id-domain06"/>
          <w:i/>
        </w:rPr>
        <w:t>Gm7609</w:t>
      </w:r>
      <w:r w:rsidR="00F15FBC">
        <w:rPr>
          <w:rStyle w:val="titlestyletitle-id-domain06"/>
        </w:rPr>
        <w:t xml:space="preserve"> to Reactome or Kyto Encyclopedia of Genes and Genomes produced no results.</w:t>
      </w:r>
    </w:p>
    <w:p w14:paraId="2F86F5A8" w14:textId="77777777" w:rsidR="0069515E" w:rsidRDefault="0069515E">
      <w:r>
        <w:t xml:space="preserve">In order to assess evolutionary constraint, I ran the </w:t>
      </w:r>
      <w:r w:rsidRPr="00E07E6A">
        <w:t>NP_001075215.1</w:t>
      </w:r>
      <w:r>
        <w:t xml:space="preserve"> through blastp using the Non-redundant protein sequences (nr) database. This search found high conservation for this protein across a number of rodent species, as well as primates, carnivores, odd-toed ungulates, and even-toed ungulates (Figure 2). This suggests that the resultant protein of </w:t>
      </w:r>
      <w:r w:rsidRPr="0069515E">
        <w:rPr>
          <w:i/>
        </w:rPr>
        <w:t>Gm7609</w:t>
      </w:r>
      <w:r>
        <w:t xml:space="preserve"> serves an important biological role. According to the NCBI gene page (accessed 3/4/2020; updated 1/23/2020), homologs of the Gm7609 gene can be found in wolves (</w:t>
      </w:r>
      <w:r w:rsidRPr="004A2BAD">
        <w:rPr>
          <w:i/>
        </w:rPr>
        <w:t>C. lupus</w:t>
      </w:r>
      <w:r>
        <w:t>), cows (</w:t>
      </w:r>
      <w:r>
        <w:rPr>
          <w:i/>
        </w:rPr>
        <w:t>B. Taurus</w:t>
      </w:r>
      <w:r>
        <w:t>), and rats (</w:t>
      </w:r>
      <w:r>
        <w:rPr>
          <w:i/>
        </w:rPr>
        <w:t>R. norvegicus</w:t>
      </w:r>
      <w:r>
        <w:t>).</w:t>
      </w:r>
    </w:p>
    <w:p w14:paraId="678AFA88" w14:textId="77777777" w:rsidR="00FF06B9" w:rsidRDefault="001A3461" w:rsidP="001848EF">
      <w:r>
        <w:rPr>
          <w:b/>
        </w:rPr>
        <w:t>Regulation</w:t>
      </w:r>
      <w:r w:rsidR="00FF06B9" w:rsidRPr="007D0743">
        <w:rPr>
          <w:b/>
        </w:rPr>
        <w:t>:</w:t>
      </w:r>
      <w:r w:rsidR="007253C4">
        <w:t xml:space="preserve"> In order to </w:t>
      </w:r>
      <w:r w:rsidR="00FF7629">
        <w:t>explore gene regulation</w:t>
      </w:r>
      <w:r w:rsidR="007253C4">
        <w:t>, I assessed the regulat</w:t>
      </w:r>
      <w:r w:rsidR="00940A9B">
        <w:t xml:space="preserve">ory build in Ensembl </w:t>
      </w:r>
      <w:r w:rsidR="009B6E98">
        <w:fldChar w:fldCharType="begin"/>
      </w:r>
      <w:r w:rsidR="009B6E98">
        <w:instrText xml:space="preserve"> ADDIN ZOTERO_ITEM CSL_CITATION {"citationID":"fIF10zU4","properties":{"formattedCitation":"[6]","plainCitation":"[6]","noteIndex":0},"citationItems":[{"id":37,"uris":["http://zotero.org/users/local/UvGXGb0i/items/6XWKGU7L"],"uri":["http://zotero.org/users/local/UvGXGb0i/items/6XWKGU7L"],"itemData":{"id":37,"type":"article-journal","abstract":"Abstract.  The Ensembl project (https://www.ensembl.org) makes key genomic data sets available to the entire scientific community without restrictions. Ensembl","container-title":"Nucleic Acids Research","DOI":"10.1093/nar/gky1113","ISSN":"0305-1048","issue":"D1","journalAbbreviation":"Nucleic Acids Res","language":"en","page":"D745-D751","source":"academic.oup.com","title":"Ensembl 2019","volume":"47","author":[{"family":"Cunningham","given":"Fiona"},{"family":"Achuthan","given":"Premanand"},{"family":"Akanni","given":"Wasiu"},{"family":"Allen","given":"James"},{"family":"Amode","given":"M. Ridwan"},{"family":"Armean","given":"Irina M."},{"family":"Bennett","given":"Ruth"},{"family":"Bhai","given":"Jyothish"},{"family":"Billis","given":"Konstantinos"},{"family":"Boddu","given":"Sanjay"},{"family":"Cummins","given":"Carla"},{"family":"Davidson","given":"Claire"},{"family":"Dodiya","given":"Kamalkumar Jayantilal"},{"family":"Gall","given":"Astrid"},{"family":"Girón","given":"Carlos García"},{"family":"Gil","given":"Laurent"},{"family":"Grego","given":"Tiago"},{"family":"Haggerty","given":"Leanne"},{"family":"Haskell","given":"Erin"},{"family":"Hourlier","given":"Thibaut"},{"family":"Izuogu","given":"Osagie G."},{"family":"Janacek","given":"Sophie H."},{"family":"Juettemann","given":"Thomas"},{"family":"Kay","given":"Mike"},{"family":"Laird","given":"Matthew R."},{"family":"Lavidas","given":"Ilias"},{"family":"Liu","given":"Zhicheng"},{"family":"Loveland","given":"Jane E."},{"family":"Marugán","given":"José C."},{"family":"Maurel","given":"Thomas"},{"family":"McMahon","given":"Aoife C."},{"family":"Moore","given":"Benjamin"},{"family":"Morales","given":"Joannella"},{"family":"Mudge","given":"Jonathan M."},{"family":"Nuhn","given":"Michael"},{"family":"Ogeh","given":"Denye"},{"family":"Parker","given":"Anne"},{"family":"Parton","given":"Andrew"},{"family":"Patricio","given":"Mateus"},{"family":"Abdul Salam","given":"Ahamed Imran"},{"family":"Schmitt","given":"Bianca M."},{"family":"Schuilenburg","given":"Helen"},{"family":"Sheppard","given":"Dan"},{"family":"Sparrow","given":"Helen"},{"family":"Stapleton","given":"Eloise"},{"family":"Szuba","given":"Marek"},{"family":"Taylor","given":"Kieron"},{"family":"Threadgold","given":"Glen"},{"family":"Thormann","given":"Anja"},{"family":"Vullo","given":"Alessandro"},{"family":"Walts","given":"Brandon"},{"family":"Winterbottom","given":"Andrea"},{"family":"Zadissa","given":"Amonida"},{"family":"Chakiachvili","given":"Marc"},{"family":"Frankish","given":"Adam"},{"family":"Hunt","given":"Sarah E."},{"family":"Kostadima","given":"Myrto"},{"family":"Langridge","given":"Nick"},{"family":"Martin","given":"Fergal J."},{"family":"Muffato","given":"Matthieu"},{"family":"Perry","given":"Emily"},{"family":"Ruffier","given":"Magali"},{"family":"Staines","given":"Daniel M."},{"family":"Trevanion","given":"Stephen J."},{"family":"Aken","given":"Bronwen L."},{"family":"Yates","given":"Andrew D."},{"family":"Zerbino","given":"Daniel R."},{"family":"Flicek","given":"Paul"}],"issued":{"date-parts":[["2019",1,8]]}}}],"schema":"https://github.com/citation-style-language/schema/raw/master/csl-citation.json"} </w:instrText>
      </w:r>
      <w:r w:rsidR="009B6E98">
        <w:fldChar w:fldCharType="separate"/>
      </w:r>
      <w:r w:rsidR="009B6E98" w:rsidRPr="009B6E98">
        <w:rPr>
          <w:rFonts w:ascii="Calibri" w:hAnsi="Calibri" w:cs="Calibri"/>
        </w:rPr>
        <w:t>[6]</w:t>
      </w:r>
      <w:r w:rsidR="009B6E98">
        <w:fldChar w:fldCharType="end"/>
      </w:r>
      <w:r w:rsidR="009B6E98">
        <w:t xml:space="preserve"> </w:t>
      </w:r>
      <w:r w:rsidR="003A260A">
        <w:t>(Figure 3</w:t>
      </w:r>
      <w:r w:rsidR="00885A35">
        <w:t>A</w:t>
      </w:r>
      <w:r w:rsidR="007253C4">
        <w:t xml:space="preserve">). </w:t>
      </w:r>
      <w:r w:rsidR="00A0052A">
        <w:t>This gene is associated with a promoter, two transcription factor binding sites, a</w:t>
      </w:r>
      <w:r w:rsidR="007D0743">
        <w:t>nd one promoter flanking region</w:t>
      </w:r>
      <w:r w:rsidR="00A0052A">
        <w:t xml:space="preserve">. </w:t>
      </w:r>
      <w:r w:rsidR="007D0743">
        <w:t>The promoter region is poised (has the potential to be activated) in the forebrain and mid</w:t>
      </w:r>
      <w:r w:rsidR="009C6C87">
        <w:t>brain of E10.5 mice. However, the promoter for this gene</w:t>
      </w:r>
      <w:r w:rsidR="007D0743">
        <w:t xml:space="preserve"> is</w:t>
      </w:r>
      <w:r w:rsidR="009C6C87">
        <w:t xml:space="preserve"> typically</w:t>
      </w:r>
      <w:r w:rsidR="007D0743">
        <w:t xml:space="preserve"> inactive (bears no epigenetic modifications) or epigenetically repressed</w:t>
      </w:r>
      <w:r w:rsidR="009C6C87">
        <w:t>.</w:t>
      </w:r>
      <w:r w:rsidR="00797C4F">
        <w:t xml:space="preserve"> Accordingly, there does not seem to be any open chromatin </w:t>
      </w:r>
      <w:r w:rsidR="001236A4">
        <w:t>structures</w:t>
      </w:r>
      <w:r w:rsidR="006F6009">
        <w:t xml:space="preserve"> present</w:t>
      </w:r>
      <w:r w:rsidR="00797C4F">
        <w:t xml:space="preserve"> in this gene.</w:t>
      </w:r>
      <w:r w:rsidR="009C6C87">
        <w:t xml:space="preserve"> This explains why even though </w:t>
      </w:r>
      <w:r w:rsidR="009C6C87" w:rsidRPr="00FF175F">
        <w:rPr>
          <w:i/>
        </w:rPr>
        <w:t>Gm6709</w:t>
      </w:r>
      <w:r w:rsidR="009C6C87">
        <w:t xml:space="preserve">’s coding sequence appears to be intact, it is unclear whether this gene is transcribed </w:t>
      </w:r>
      <w:r w:rsidR="009C6C87" w:rsidRPr="001B3FF8">
        <w:rPr>
          <w:i/>
        </w:rPr>
        <w:t>in vivo</w:t>
      </w:r>
      <w:r w:rsidR="009C6C87">
        <w:t>.</w:t>
      </w:r>
      <w:r w:rsidR="00182C65">
        <w:t xml:space="preserve"> Neither associated transcription factor binding sites display an active or potentially active epigenetic signature.</w:t>
      </w:r>
      <w:r w:rsidR="0070683F">
        <w:t xml:space="preserve"> </w:t>
      </w:r>
      <w:r w:rsidR="00BF1E7C">
        <w:t xml:space="preserve">Proximal enhancers defined as the </w:t>
      </w:r>
      <w:r w:rsidR="001848EF">
        <w:t>promoter flanking region</w:t>
      </w:r>
      <w:r w:rsidR="00BF1E7C">
        <w:t xml:space="preserve"> </w:t>
      </w:r>
      <w:r w:rsidR="00BF1E7C">
        <w:fldChar w:fldCharType="begin"/>
      </w:r>
      <w:r w:rsidR="009B6E98">
        <w:instrText xml:space="preserve"> ADDIN ZOTERO_ITEM CSL_CITATION {"citationID":"hc0PdEBN","properties":{"formattedCitation":"[7]","plainCitation":"[7]","noteIndex":0},"citationItems":[{"id":19,"uris":["http://zotero.org/users/local/UvGXGb0i/items/SV8YQWM4"],"uri":["http://zotero.org/users/local/UvGXGb0i/items/SV8YQWM4"],"itemData":{"id":19,"type":"article-journal","abstract":"Most genomic variants associated with phenotypic traits or disease do not fall within gene coding regions, but in regulatory regions, rendering their interpretation difficult. We collected public data on epigenetic marks and transcription factor binding in human cell types and used it to construct an intuitive summary of regulatory regions in the human genome. We verified it against independent assays for sensitivity. The Ensembl Regulatory Build will be progressively enriched when more data is made available. It is freely available on the Ensembl browser, from the Ensembl Regulation MySQL database server and in a dedicated track hub.","container-title":"Genome Biology","DOI":"10.1186/s13059-015-0621-5","ISSN":"1465-6906","issue":"1","journalAbbreviation":"Genome Biol","note":"PMID: 25887522\nPMCID: PMC4407537","source":"PubMed Central","title":"The Ensembl Regulatory Build","URL":"https://www.ncbi.nlm.nih.gov/pmc/articles/PMC4407537/","volume":"16","author":[{"family":"Zerbino","given":"Daniel R"},{"family":"Wilder","given":"Steven P"},{"family":"Johnson","given":"Nathan"},{"family":"Juettemann","given":"Thomas"},{"family":"Flicek","given":"Paul R"}],"accessed":{"date-parts":[["2020",3,7]]},"issued":{"date-parts":[["2015"]]}}}],"schema":"https://github.com/citation-style-language/schema/raw/master/csl-citation.json"} </w:instrText>
      </w:r>
      <w:r w:rsidR="00BF1E7C">
        <w:fldChar w:fldCharType="separate"/>
      </w:r>
      <w:r w:rsidR="009B6E98" w:rsidRPr="009B6E98">
        <w:rPr>
          <w:rFonts w:ascii="Calibri" w:hAnsi="Calibri" w:cs="Calibri"/>
        </w:rPr>
        <w:t>[7]</w:t>
      </w:r>
      <w:r w:rsidR="00BF1E7C">
        <w:fldChar w:fldCharType="end"/>
      </w:r>
      <w:r w:rsidR="001B5640">
        <w:t>, however, show</w:t>
      </w:r>
      <w:r w:rsidR="001848EF">
        <w:t xml:space="preserve"> an active epigenetic signature in a C57BL/6 embryonic cell line and E14.5-15 forebrain</w:t>
      </w:r>
      <w:r w:rsidR="001C6530">
        <w:t xml:space="preserve">, hindbrain, and midbrain. Additionally, this </w:t>
      </w:r>
      <w:r w:rsidR="001848EF">
        <w:t>prom</w:t>
      </w:r>
      <w:r w:rsidR="00483A72">
        <w:t>oter flanking region</w:t>
      </w:r>
      <w:r w:rsidR="00FF175F">
        <w:t xml:space="preserve"> </w:t>
      </w:r>
      <w:r w:rsidR="001848EF">
        <w:t>has</w:t>
      </w:r>
      <w:r w:rsidR="00FF175F">
        <w:t xml:space="preserve"> the potential to be activated </w:t>
      </w:r>
      <w:r w:rsidR="001848EF">
        <w:t>in the midbrain of E13.5 mice.</w:t>
      </w:r>
      <w:r w:rsidR="00965BF9">
        <w:t xml:space="preserve"> In support of the Ensembl findings, the UCSB Genome Browser</w:t>
      </w:r>
      <w:r w:rsidR="00DB663D">
        <w:t xml:space="preserve"> </w:t>
      </w:r>
      <w:r w:rsidR="00DB663D">
        <w:fldChar w:fldCharType="begin"/>
      </w:r>
      <w:r w:rsidR="00DB663D">
        <w:instrText xml:space="preserve"> ADDIN ZOTERO_ITEM CSL_CITATION {"citationID":"fsFc1QSF","properties":{"formattedCitation":"[8]","plainCitation":"[8]","noteIndex":0},"citationItems":[{"id":40,"uris":["http://zotero.org/users/local/UvGXGb0i/items/ATZL545X"],"uri":["http://zotero.org/users/local/UvGXGb0i/items/ATZL545X"],"itemData":{"id":40,"type":"article-journal","abstract":"As vertebrate genome sequences near completion and research refocuses to their analysis, the issue of effective genome annotation display becomes critical. A mature web tool for rapid and reliable display of any requested portion of the genome at any scale, together with several dozen aligned annotation tracks, is provided athttp://genome.ucsc.edu. This browser displays assembly contigs and gaps, mRNA and expressed sequence tag alignments, multiple gene predictions, cross-species homologies, single nucleotide polymorphisms, sequence-tagged sites, radiation hybrid data, transposon repeats, and more as a stack of coregistered tracks. Text and sequence-based searches provide quick and precise access to any region of specific interest. Secondary links from individual features lead to sequence details and supplementary off-site databases. One-half of the annotation tracks are computed at the University of California, Santa Cruz from publicly available sequence data; collaborators worldwide provide the rest. Users can stably add their own custom tracks to the browser for educational or research purposes. The conceptual and technical framework of the browser, its underlying MYSQL database, and overall use are described. The web site currently serves over 50,000 pages per day to over 3000 different users.","container-title":"Genome Research","DOI":"10.1101/gr.229102","ISSN":"1088-9051, 1549-5469","issue":"6","journalAbbreviation":"Genome Res.","language":"en","note":"PMID: 12045153","page":"996-1006","source":"genome.cshlp.org","title":"The Human Genome Browser at UCSC","volume":"12","author":[{"family":"Kent","given":"W. James"},{"family":"Sugnet","given":"Charles W."},{"family":"Furey","given":"Terrence S."},{"family":"Roskin","given":"Krishna M."},{"family":"Pringle","given":"Tom H."},{"family":"Zahler","given":"Alan M."},{"family":"Haussler","given":"and David"}],"issued":{"date-parts":[["2002",6,1]]}}}],"schema":"https://github.com/citation-style-language/schema/raw/master/csl-citation.json"} </w:instrText>
      </w:r>
      <w:r w:rsidR="00DB663D">
        <w:fldChar w:fldCharType="separate"/>
      </w:r>
      <w:r w:rsidR="00DB663D" w:rsidRPr="00DB663D">
        <w:rPr>
          <w:rFonts w:ascii="Calibri" w:hAnsi="Calibri" w:cs="Calibri"/>
        </w:rPr>
        <w:t>[8]</w:t>
      </w:r>
      <w:r w:rsidR="00DB663D">
        <w:fldChar w:fldCharType="end"/>
      </w:r>
      <w:r w:rsidR="00965BF9">
        <w:t xml:space="preserve"> shows heterochromatin H3K9me3-associated (Hc-H) expression in the forebrain and heart of E11 and E15 mice respectively</w:t>
      </w:r>
      <w:r w:rsidR="003A260A">
        <w:t xml:space="preserve"> (Figure 3</w:t>
      </w:r>
      <w:r w:rsidR="00801E69">
        <w:t>B)</w:t>
      </w:r>
      <w:r w:rsidR="00965BF9">
        <w:t>.</w:t>
      </w:r>
      <w:r w:rsidR="00623CF7">
        <w:t xml:space="preserve"> This histone mark is associated with gene repression </w:t>
      </w:r>
      <w:r w:rsidR="00316F98">
        <w:fldChar w:fldCharType="begin"/>
      </w:r>
      <w:r w:rsidR="00DB663D">
        <w:instrText xml:space="preserve"> ADDIN ZOTERO_ITEM CSL_CITATION {"citationID":"mp8GJUu7","properties":{"formattedCitation":"[9]","plainCitation":"[9]","noteIndex":0},"citationItems":[{"id":22,"uris":["http://zotero.org/users/local/UvGXGb0i/items/DDTB7LMH"],"uri":["http://zotero.org/users/local/UvGXGb0i/items/DDTB7LMH"],"itemData":{"id":22,"type":"article-journal","abstract":"Establishing and maintaining cell identity depends upon the proper regulation of gene expression, as specified by transcription factors and reinforced by epigenetic mechanisms. Among the epigenetic mechanisms, heterochromatin formation is critical for the preservation of genome stability and the cell type-specific silencing of genes. The heterochromatin-associated histone mark H3K9me3, although traditionally associated with the noncoding portions of the genome, has emerged as a key player in repressing lineage-inappropriate genes and shielding them from activation by transcription factors. Here we describe the role of H3K9me3 heterochromatin in impeding the reprogramming of cell identity and the mechanisms by which H3K9me3 is reorganized during development and cell fate determination.","container-title":"Trends in genetics : TIG","DOI":"10.1016/j.tig.2015.11.001","ISSN":"0168-9525","issue":"1","journalAbbreviation":"Trends Genet","note":"PMID: 26675384\nPMCID: PMC4698194","page":"29-41","source":"PubMed Central","title":"H3K9me3-Dependent Heterochromatin: Barrier to Cell Fate Changes","title-short":"H3K9me3-Dependent Heterochromatin","volume":"32","author":[{"family":"Becker","given":"Justin S."},{"family":"Nicetto","given":"Dario"},{"family":"Zaret","given":"Kenneth S."}],"issued":{"date-parts":[["2016",1]]}}}],"schema":"https://github.com/citation-style-language/schema/raw/master/csl-citation.json"} </w:instrText>
      </w:r>
      <w:r w:rsidR="00316F98">
        <w:fldChar w:fldCharType="separate"/>
      </w:r>
      <w:r w:rsidR="00DB663D" w:rsidRPr="00DB663D">
        <w:rPr>
          <w:rFonts w:ascii="Calibri" w:hAnsi="Calibri" w:cs="Calibri"/>
        </w:rPr>
        <w:t>[9]</w:t>
      </w:r>
      <w:r w:rsidR="00316F98">
        <w:fldChar w:fldCharType="end"/>
      </w:r>
      <w:r w:rsidR="00623CF7">
        <w:t>.</w:t>
      </w:r>
    </w:p>
    <w:p w14:paraId="59BA1EB4" w14:textId="77777777" w:rsidR="00FC3A14" w:rsidRDefault="0069515E">
      <w:r>
        <w:rPr>
          <w:b/>
        </w:rPr>
        <w:t>O</w:t>
      </w:r>
      <w:r w:rsidR="00221797" w:rsidRPr="004B4AFB">
        <w:rPr>
          <w:b/>
        </w:rPr>
        <w:t>rthology:</w:t>
      </w:r>
      <w:r w:rsidR="00221797">
        <w:t xml:space="preserve"> To identify orthologs for the curated protein associated with </w:t>
      </w:r>
      <w:r w:rsidR="00221797" w:rsidRPr="005400F2">
        <w:rPr>
          <w:i/>
        </w:rPr>
        <w:t>Gm7609</w:t>
      </w:r>
      <w:r w:rsidR="00221797">
        <w:t>, I ran</w:t>
      </w:r>
      <w:r w:rsidR="00E07E6A">
        <w:t xml:space="preserve"> </w:t>
      </w:r>
      <w:r w:rsidR="00E07E6A" w:rsidRPr="00E07E6A">
        <w:t>NP_001075215.1</w:t>
      </w:r>
      <w:r w:rsidR="00E07E6A">
        <w:t xml:space="preserve"> through blastp using the Model Organisms (landmark) database</w:t>
      </w:r>
      <w:r w:rsidR="00594D84">
        <w:t xml:space="preserve"> and the PSI-BLAST algorithm</w:t>
      </w:r>
      <w:r w:rsidR="005400F2">
        <w:t xml:space="preserve"> </w:t>
      </w:r>
      <w:r w:rsidR="005400F2">
        <w:fldChar w:fldCharType="begin"/>
      </w:r>
      <w:r w:rsidR="005400F2">
        <w:instrText xml:space="preserve"> ADDIN ZOTERO_ITEM CSL_CITATION {"citationID":"gXR4KYyU","properties":{"formattedCitation":"[10]","plainCitation":"[10]","noteIndex":0},"citationItems":[{"id":44,"uris":["http://zotero.org/users/local/UvGXGb0i/items/7FYSB5ML"],"uri":["http://zotero.org/users/local/UvGXGb0i/items/7FYSB5ML"],"itemData":{"id":44,"type":"article-journal","abstract":"The BLAST programs are widely used tools for searching protein and DNA databases for sequence similarities. For protein comparisons, a variety of definitional, algorithmic and statistical refinements described here permits the execution time of the BLAST programs to be decreased substantially while enhancing their sensitivity to weak similarities. A new criterion for triggering the extension of word hits, combined with a new heuristic for generating gapped alignments, yields a gapped BLAST program that runs at approximately three times the speed of the original. In addition, a method is introduced for automatically combining statistically significant alignments produced by BLAST into a position-specific score matrix, and searching the database using this matrix. The resulting Position-Specific Iterated BLAST (PSI-BLAST) program runs at approximately the same speed per iteration as gapped BLAST, but in many cases is much more sensitive to weak but biologically relevant sequence similarities. PSI-BLAST is used to uncover several new and interesting members of the BRCT superfamily.","container-title":"Nucleic Acids Research","ISSN":"0305-1048","issue":"17","journalAbbreviation":"Nucleic Acids Res","note":"PMID: 9254694\nPMCID: PMC146917","page":"3389-3402","source":"PubMed Central","title":"Gapped BLAST and PSI-BLAST: a new generation of protein database search programs.","title-short":"Gapped BLAST and PSI-BLAST","volume":"25","author":[{"family":"Altschul","given":"S F"},{"family":"Madden","given":"T L"},{"family":"Schäffer","given":"A A"},{"family":"Zhang","given":"J"},{"family":"Zhang","given":"Z"},{"family":"Miller","given":"W"},{"family":"Lipman","given":"D J"}],"issued":{"date-parts":[["1997",9,1]]}}}],"schema":"https://github.com/citation-style-language/schema/raw/master/csl-citation.json"} </w:instrText>
      </w:r>
      <w:r w:rsidR="005400F2">
        <w:fldChar w:fldCharType="separate"/>
      </w:r>
      <w:r w:rsidR="005400F2" w:rsidRPr="005400F2">
        <w:rPr>
          <w:rFonts w:ascii="Calibri" w:hAnsi="Calibri" w:cs="Calibri"/>
        </w:rPr>
        <w:t>[10]</w:t>
      </w:r>
      <w:r w:rsidR="005400F2">
        <w:fldChar w:fldCharType="end"/>
      </w:r>
      <w:r w:rsidR="00221797">
        <w:t xml:space="preserve">. </w:t>
      </w:r>
      <w:r w:rsidR="00885396">
        <w:t>This produced BLAST hits</w:t>
      </w:r>
      <w:r w:rsidR="00594D84">
        <w:t xml:space="preserve"> only in </w:t>
      </w:r>
      <w:r w:rsidR="00594D84" w:rsidRPr="009A0549">
        <w:rPr>
          <w:i/>
        </w:rPr>
        <w:t>Mus musculus</w:t>
      </w:r>
      <w:r w:rsidR="00594D84">
        <w:t xml:space="preserve"> and </w:t>
      </w:r>
      <w:r w:rsidR="00594D84" w:rsidRPr="009A0549">
        <w:rPr>
          <w:i/>
        </w:rPr>
        <w:t>Danio rerio</w:t>
      </w:r>
      <w:r w:rsidR="00594D84">
        <w:t xml:space="preserve"> (bony fish)</w:t>
      </w:r>
      <w:r w:rsidR="00885396">
        <w:t xml:space="preserve">. The top result for </w:t>
      </w:r>
      <w:r w:rsidR="00885396" w:rsidRPr="009A0549">
        <w:rPr>
          <w:i/>
        </w:rPr>
        <w:t>Danio rerio</w:t>
      </w:r>
      <w:r w:rsidR="00885396">
        <w:t xml:space="preserve"> is olfactory receptor 2T2-like</w:t>
      </w:r>
      <w:r w:rsidR="00861A0C">
        <w:t xml:space="preserve"> (</w:t>
      </w:r>
      <w:r w:rsidR="00861A0C" w:rsidRPr="009A0549">
        <w:t>XP_009296720.1</w:t>
      </w:r>
      <w:r w:rsidR="00861A0C">
        <w:t>)</w:t>
      </w:r>
      <w:r w:rsidR="00885396">
        <w:t xml:space="preserve">. However, while it had a relatively low E-value (5e-37) with 95% query coverage, the percent identity was only 34.15%. </w:t>
      </w:r>
      <w:r w:rsidR="0050357C">
        <w:t>I then refined</w:t>
      </w:r>
      <w:r w:rsidR="00861A0C">
        <w:t xml:space="preserve"> the precision matrix with </w:t>
      </w:r>
      <w:r w:rsidR="0050357C">
        <w:t xml:space="preserve">a </w:t>
      </w:r>
      <w:r w:rsidR="00861A0C">
        <w:t xml:space="preserve">second iteration selecting for only </w:t>
      </w:r>
      <w:r w:rsidR="0050357C">
        <w:t xml:space="preserve">E-values less than 2e-12. This identified more </w:t>
      </w:r>
      <w:r w:rsidR="0050357C" w:rsidRPr="009A0549">
        <w:rPr>
          <w:i/>
        </w:rPr>
        <w:t>Mus musculus</w:t>
      </w:r>
      <w:r w:rsidR="0050357C">
        <w:t xml:space="preserve"> and </w:t>
      </w:r>
      <w:r w:rsidR="0050357C" w:rsidRPr="009A0549">
        <w:rPr>
          <w:i/>
        </w:rPr>
        <w:t>Danio rerio</w:t>
      </w:r>
      <w:r w:rsidR="0050357C">
        <w:t xml:space="preserve"> proteins, as well as some </w:t>
      </w:r>
      <w:r w:rsidR="0050357C" w:rsidRPr="009A0549">
        <w:rPr>
          <w:i/>
        </w:rPr>
        <w:t>Homo sapiens</w:t>
      </w:r>
      <w:r w:rsidR="0050357C">
        <w:t xml:space="preserve"> </w:t>
      </w:r>
      <w:r w:rsidR="009A0EC5">
        <w:t xml:space="preserve">(humans) </w:t>
      </w:r>
      <w:r w:rsidR="0050357C">
        <w:t>and</w:t>
      </w:r>
      <w:r w:rsidR="009A0EC5">
        <w:t xml:space="preserve"> </w:t>
      </w:r>
      <w:r w:rsidR="009A0EC5" w:rsidRPr="009A0549">
        <w:rPr>
          <w:i/>
        </w:rPr>
        <w:t>Drosophila melanogaster</w:t>
      </w:r>
      <w:r w:rsidR="0050357C">
        <w:t xml:space="preserve"> </w:t>
      </w:r>
      <w:r w:rsidR="009A0EC5">
        <w:t xml:space="preserve">(flies) </w:t>
      </w:r>
      <w:r w:rsidR="0050357C">
        <w:t xml:space="preserve">proteins. The top hit for </w:t>
      </w:r>
      <w:r w:rsidR="0050357C" w:rsidRPr="009A0549">
        <w:rPr>
          <w:i/>
        </w:rPr>
        <w:t>Homo sapiens</w:t>
      </w:r>
      <w:r w:rsidR="0050357C">
        <w:t xml:space="preserve"> was probable G-protein coupled receptor 148 (NP_997247.2). </w:t>
      </w:r>
      <w:r w:rsidR="008A02B5">
        <w:t xml:space="preserve">This protein had 72% query coverage and an E-value of 3e-14, but only 18.86% identity. </w:t>
      </w:r>
      <w:r w:rsidR="009A0EC5">
        <w:t xml:space="preserve">The top hit for </w:t>
      </w:r>
      <w:r w:rsidR="009A0EC5" w:rsidRPr="009A0549">
        <w:rPr>
          <w:i/>
        </w:rPr>
        <w:t>Drosophila melanogaster</w:t>
      </w:r>
      <w:r w:rsidR="009A0EC5">
        <w:t xml:space="preserve"> was leucokinin receptor (NP_647968.3). This protein had 89% query coverage and an E-value of 9e-09, but only 15.49% identity. </w:t>
      </w:r>
      <w:r w:rsidR="00194099">
        <w:t>These numbers suggest u</w:t>
      </w:r>
      <w:r w:rsidR="009A0549">
        <w:t>nlikely cross-species homology</w:t>
      </w:r>
      <w:r w:rsidR="00194099">
        <w:t xml:space="preserve">. To confirm this hypothesis, I </w:t>
      </w:r>
      <w:r w:rsidR="00030450">
        <w:t>performed a reciprocal</w:t>
      </w:r>
      <w:r w:rsidR="00194099">
        <w:t xml:space="preserve"> blastp search against the Non-redundant protein sequences (nr) database for </w:t>
      </w:r>
      <w:r w:rsidR="00194099" w:rsidRPr="00DA5806">
        <w:rPr>
          <w:i/>
        </w:rPr>
        <w:t>Mus musculus</w:t>
      </w:r>
      <w:r w:rsidR="00194099">
        <w:t xml:space="preserve"> </w:t>
      </w:r>
      <w:r w:rsidR="00DA5806">
        <w:t>using</w:t>
      </w:r>
      <w:r w:rsidR="00194099">
        <w:t xml:space="preserve"> the top hits in each of these three species. </w:t>
      </w:r>
      <w:r w:rsidR="00326FEB">
        <w:t xml:space="preserve">As expected, no significant similarity was found for any of these proteins using these criteria. </w:t>
      </w:r>
      <w:r w:rsidR="000A14DF">
        <w:t xml:space="preserve">When I searched for this gene in Genomicus to compare syntenic regions between species, </w:t>
      </w:r>
      <w:r w:rsidR="000A14DF" w:rsidRPr="007333C1">
        <w:rPr>
          <w:i/>
        </w:rPr>
        <w:t>Gm7609</w:t>
      </w:r>
      <w:r w:rsidR="000A14DF">
        <w:t xml:space="preserve"> </w:t>
      </w:r>
      <w:r w:rsidR="00667D90">
        <w:t xml:space="preserve">and </w:t>
      </w:r>
      <w:r w:rsidR="00667D90" w:rsidRPr="007333C1">
        <w:t>ENSMUSG00000079457</w:t>
      </w:r>
      <w:r w:rsidR="000A14DF">
        <w:t xml:space="preserve"> di</w:t>
      </w:r>
      <w:r w:rsidR="00D5377E">
        <w:t>d not appear to match any genes indicating no homologues in humans.</w:t>
      </w:r>
    </w:p>
    <w:p w14:paraId="5438BD6D" w14:textId="77777777" w:rsidR="006256FD" w:rsidRDefault="00405FF3">
      <w:r>
        <w:rPr>
          <w:b/>
        </w:rPr>
        <w:t>L</w:t>
      </w:r>
      <w:r w:rsidR="007C157D" w:rsidRPr="007C157D">
        <w:rPr>
          <w:b/>
        </w:rPr>
        <w:t>ocalization:</w:t>
      </w:r>
      <w:r w:rsidR="007C157D">
        <w:t xml:space="preserve"> According to NCBI, the protein sequence for </w:t>
      </w:r>
      <w:r w:rsidR="007C157D" w:rsidRPr="00560DF5">
        <w:rPr>
          <w:i/>
        </w:rPr>
        <w:t>Gm7609</w:t>
      </w:r>
      <w:r w:rsidR="007C157D">
        <w:t xml:space="preserve"> is the same as that of </w:t>
      </w:r>
      <w:r w:rsidR="007C157D" w:rsidRPr="007C157D">
        <w:rPr>
          <w:i/>
        </w:rPr>
        <w:t>Csprs</w:t>
      </w:r>
      <w:r w:rsidR="007C157D">
        <w:t xml:space="preserve">. Accordingly, a UniProKB search </w:t>
      </w:r>
      <w:r w:rsidR="00CF70E6">
        <w:fldChar w:fldCharType="begin"/>
      </w:r>
      <w:r w:rsidR="005400F2">
        <w:instrText xml:space="preserve"> ADDIN ZOTERO_ITEM CSL_CITATION {"citationID":"qPweZIgg","properties":{"formattedCitation":"[11]","plainCitation":"[11]","noteIndex":0},"citationItems":[{"id":16,"uris":["http://zotero.org/users/local/UvGXGb0i/items/6FPABTTJ"],"uri":["http://zotero.org/users/local/UvGXGb0i/items/6FPABTTJ"],"itemData":{"id":16,"type":"article-journal","abstract":"Abstract.  The UniProt Knowledgebase is a collection of sequences and annotations for over 120 million proteins across all branches of life. Detailed annotation","container-title":"Nucleic Acids Research","DOI":"10.1093/nar/gky1049","ISSN":"0305-1048","issue":"D1","journalAbbreviation":"Nucleic Acids Res","language":"en","page":"D506-D515","source":"academic.oup.com","title":"UniProt: a worldwide hub of protein knowledge","title-short":"UniProt","volume":"47","issued":{"date-parts":[["2019",1,8]]}}}],"schema":"https://github.com/citation-style-language/schema/raw/master/csl-citation.json"} </w:instrText>
      </w:r>
      <w:r w:rsidR="00CF70E6">
        <w:fldChar w:fldCharType="separate"/>
      </w:r>
      <w:r w:rsidR="005400F2" w:rsidRPr="005400F2">
        <w:rPr>
          <w:rFonts w:ascii="Calibri" w:hAnsi="Calibri" w:cs="Calibri"/>
        </w:rPr>
        <w:t>[11]</w:t>
      </w:r>
      <w:r w:rsidR="00CF70E6">
        <w:fldChar w:fldCharType="end"/>
      </w:r>
      <w:r w:rsidR="00CF70E6">
        <w:t xml:space="preserve"> </w:t>
      </w:r>
      <w:r w:rsidR="007C157D">
        <w:t xml:space="preserve">for </w:t>
      </w:r>
      <w:r w:rsidR="007C157D" w:rsidRPr="00560DF5">
        <w:rPr>
          <w:i/>
        </w:rPr>
        <w:t>Gm7609</w:t>
      </w:r>
      <w:r w:rsidR="007C157D">
        <w:t xml:space="preserve"> </w:t>
      </w:r>
      <w:r w:rsidR="00CF70E6">
        <w:t>brings up entry Q3U0D6, an</w:t>
      </w:r>
      <w:r w:rsidR="007C157D">
        <w:t xml:space="preserve"> uncharacterized </w:t>
      </w:r>
      <w:r w:rsidR="00560DF5">
        <w:t>protein associated with 3 genes:</w:t>
      </w:r>
      <w:r w:rsidR="007C157D">
        <w:t xml:space="preserve"> </w:t>
      </w:r>
      <w:r w:rsidR="007C157D" w:rsidRPr="007C157D">
        <w:rPr>
          <w:i/>
        </w:rPr>
        <w:t>Csprs</w:t>
      </w:r>
      <w:r w:rsidR="007C157D">
        <w:t xml:space="preserve">, </w:t>
      </w:r>
      <w:r w:rsidR="007C157D" w:rsidRPr="007C157D">
        <w:rPr>
          <w:i/>
        </w:rPr>
        <w:t>Gm7592</w:t>
      </w:r>
      <w:r w:rsidR="007C157D">
        <w:t xml:space="preserve">, and </w:t>
      </w:r>
      <w:r w:rsidR="007C157D" w:rsidRPr="007C157D">
        <w:rPr>
          <w:i/>
        </w:rPr>
        <w:t>Gm7609</w:t>
      </w:r>
      <w:r w:rsidR="00CF70E6">
        <w:t>. Sourced via Interpro and UniProKB-KW, t</w:t>
      </w:r>
      <w:r w:rsidR="007C157D">
        <w:t xml:space="preserve">his protein is </w:t>
      </w:r>
      <w:r w:rsidR="00BA73F9">
        <w:t>associated with 3 GO terms: membrane, integral component of membrane, and nucleus</w:t>
      </w:r>
      <w:r w:rsidR="00D32B2C">
        <w:t xml:space="preserve">. </w:t>
      </w:r>
      <w:r w:rsidR="00640FAF">
        <w:lastRenderedPageBreak/>
        <w:t>Sequence analyses identified</w:t>
      </w:r>
      <w:r w:rsidR="00CF70E6">
        <w:t xml:space="preserve"> </w:t>
      </w:r>
      <w:r w:rsidR="00C54EDE">
        <w:t xml:space="preserve">six transmembrane segments as denoted by </w:t>
      </w:r>
      <w:r w:rsidR="00C54EDE">
        <w:rPr>
          <w:rFonts w:cstheme="minorHAnsi"/>
        </w:rPr>
        <w:t>α</w:t>
      </w:r>
      <w:r w:rsidR="00C54EDE">
        <w:t xml:space="preserve">-helical transmembrane regions and </w:t>
      </w:r>
      <w:r w:rsidR="00C54EDE">
        <w:rPr>
          <w:rFonts w:cstheme="minorHAnsi"/>
        </w:rPr>
        <w:t>β</w:t>
      </w:r>
      <w:r w:rsidR="00C54EDE">
        <w:t>-barrel transmembrane proteins.</w:t>
      </w:r>
      <w:r w:rsidR="00E66B90">
        <w:t xml:space="preserve"> </w:t>
      </w:r>
      <w:r w:rsidR="00D32B2C">
        <w:t xml:space="preserve">This suggests that the </w:t>
      </w:r>
      <w:r w:rsidR="00D32B2C" w:rsidRPr="00640FAF">
        <w:rPr>
          <w:i/>
        </w:rPr>
        <w:t>Gm7609</w:t>
      </w:r>
      <w:r w:rsidR="00D32B2C">
        <w:t xml:space="preserve">-associated protein is a transmembrane protein </w:t>
      </w:r>
      <w:r w:rsidR="002C02EB">
        <w:t xml:space="preserve">located on the nuclear envelope </w:t>
      </w:r>
      <w:r w:rsidR="004514AA">
        <w:t>(Figure 4</w:t>
      </w:r>
      <w:r w:rsidR="00D32B2C">
        <w:t>).</w:t>
      </w:r>
      <w:r w:rsidR="00FF4F46">
        <w:t xml:space="preserve"> </w:t>
      </w:r>
      <w:r>
        <w:t>The hydrophobicity profile for the uncharacterized mouse protein Q3U0D6 sequence predicted using the Kyte-Doolittle</w:t>
      </w:r>
      <w:r w:rsidR="006C288B">
        <w:t xml:space="preserve"> </w:t>
      </w:r>
      <w:r w:rsidR="006C288B">
        <w:fldChar w:fldCharType="begin"/>
      </w:r>
      <w:r w:rsidR="006C288B">
        <w:instrText xml:space="preserve"> ADDIN ZOTERO_ITEM CSL_CITATION {"citationID":"fCegUMiW","properties":{"formattedCitation":"[12]","plainCitation":"[12]","noteIndex":0},"citationItems":[{"id":47,"uris":["http://zotero.org/users/local/UvGXGb0i/items/QICHWFCQ"],"uri":["http://zotero.org/users/local/UvGXGb0i/items/QICHWFCQ"],"itemData":{"id":47,"type":"article-journal","abstract":"A computer program that progressively evaluates the hydrophilicity and hydrophobicity of a protein along its amino acid sequence has been devised. For this purpose, a hydropathy scale has been composed wherein the hydrophilic and hydrophobic properties of each of the 20 amino acid side-chains is taken into consideration. The scale is based on an amalgam of experimental observations derived from the literature. The program uses a moving-segment approach that continuously determines the average hydropathy within a segment of predetermined length as it advances through the sequence. The consecutive scores are plotted from the amino to the carboxy terminus. At the same time, a midpoint line is printed that corresponds to the grand average of the hydropathy of the amino acid compositions found in most of the sequenced proteins. In the case of soluble, globular proteins there is a remarkable correspondence between the interior portions of their sequence and the regions appearing on the hydrophobic side of the midpoint line, as well as the exterior portions and the regions on the hydrophilic side. The correlation was demonstrated by comparisons between the plotted values and known structures determined by crystallography. In the case of membrane-bound proteins, the portions of their sequences that are located within the lipid bilayer are also clearly delineated by large uninterrupted areas on the hydrophobic side of the midpoint line. As such, the membrane-spanning segments of these proteins can be identified by this procedure. Although the method is not unique and embodies principles that have long been appreciated, its simplicity and its graphic nature make it a very useful tool for the evaluation of protein structures.","container-title":"Journal of Molecular Biology","DOI":"10.1016/0022-2836(82)90515-0","ISSN":"0022-2836","issue":"1","journalAbbreviation":"Journal of Molecular Biology","language":"en","page":"105-132","source":"ScienceDirect","title":"A simple method for displaying the hydropathic character of a protein","volume":"157","author":[{"family":"Kyte","given":"Jack"},{"family":"Doolittle","given":"Russell F."}],"issued":{"date-parts":[["1982",5,5]]}}}],"schema":"https://github.com/citation-style-language/schema/raw/master/csl-citation.json"} </w:instrText>
      </w:r>
      <w:r w:rsidR="006C288B">
        <w:fldChar w:fldCharType="separate"/>
      </w:r>
      <w:r w:rsidR="006C288B" w:rsidRPr="006C288B">
        <w:rPr>
          <w:rFonts w:ascii="Calibri" w:hAnsi="Calibri" w:cs="Calibri"/>
        </w:rPr>
        <w:t>[12]</w:t>
      </w:r>
      <w:r w:rsidR="006C288B">
        <w:fldChar w:fldCharType="end"/>
      </w:r>
      <w:r>
        <w:t xml:space="preserve"> scale via </w:t>
      </w:r>
      <w:r w:rsidRPr="00405FF3">
        <w:t>Expasy protscale algorithm</w:t>
      </w:r>
      <w:r w:rsidR="00DE2F84">
        <w:t xml:space="preserve"> supports this protein’s transmembrane status</w:t>
      </w:r>
      <w:r w:rsidR="004514AA">
        <w:t xml:space="preserve"> (Figure 5</w:t>
      </w:r>
      <w:r w:rsidR="00422225">
        <w:t>)</w:t>
      </w:r>
      <w:r w:rsidR="00DE2F84">
        <w:t>.</w:t>
      </w:r>
    </w:p>
    <w:p w14:paraId="1FC7D6DE" w14:textId="77777777" w:rsidR="000F2509" w:rsidRDefault="000F2509" w:rsidP="000F2509">
      <w:r w:rsidRPr="0065646B">
        <w:rPr>
          <w:b/>
        </w:rPr>
        <w:t>Tissues of expression:</w:t>
      </w:r>
      <w:r>
        <w:t xml:space="preserve"> According to the mouse ENCODE transcriptome data displayed on the NCBI page for this gene, </w:t>
      </w:r>
      <w:r w:rsidRPr="0065646B">
        <w:rPr>
          <w:i/>
        </w:rPr>
        <w:t>Gm7609</w:t>
      </w:r>
      <w:r>
        <w:t xml:space="preserve"> show</w:t>
      </w:r>
      <w:r w:rsidR="0065646B">
        <w:t>s</w:t>
      </w:r>
      <w:r>
        <w:t xml:space="preserve"> highest expression levels in the adult spleen (1.741 RPKM), thymus (1.434 RPKM)</w:t>
      </w:r>
      <w:r w:rsidR="0065646B">
        <w:t xml:space="preserve">, and mammary glands (0.981 RPKM) </w:t>
      </w:r>
      <w:r>
        <w:fldChar w:fldCharType="begin"/>
      </w:r>
      <w:r w:rsidR="006C288B">
        <w:instrText xml:space="preserve"> ADDIN ZOTERO_ITEM CSL_CITATION {"citationID":"gIe8A51J","properties":{"formattedCitation":"[13]","plainCitation":"[13]","noteIndex":0},"citationItems":[{"id":13,"uris":["http://zotero.org/users/local/UvGXGb0i/items/QQ8E6TSN"],"uri":["http://zotero.org/users/local/UvGXGb0i/items/QQ8E6TSN"],"itemData":{"id":13,"type":"article-journal","abstract":"As the premier model organism in biomedical research, the laboratory mouse shares the majority of protein-coding genes with humans, yet the two mammals differ in significant ways. To gain greater insights into both shared and species-specific transcriptional and cellular regulatory programs in the mouse, the Mouse ENCODE Consortium has mapped transcription, DNase I hypersensitivity, transcription factor binding, chromatin modifications, and replication domains throughout the mouse genome in diverse cell and tissue types. By comparing with the human genome, we not only confirm substantial conservation in the newly annotated potential functional sequences, but also find a large degree of divergence of other sequences involved in transcriptional regulation, chromatin state and higher order chromatin organization. Our results illuminate the wide range of evolutionary forces acting on genes and their regulatory regions, and provide a general resource for research into mammalian biology and mechanisms of human diseases.","container-title":"Nature","DOI":"10.1038/nature13992","ISSN":"0028-0836","issue":"7527","journalAbbreviation":"Nature","note":"PMID: 25409824\nPMCID: PMC4266106","page":"355-364","source":"PubMed Central","title":"A Comparative Encyclopedia of DNA Elements in the Mouse Genome","volume":"515","author":[{"family":"Yue","given":"Feng"},{"family":"Cheng","given":"Yong"},{"family":"Breschi","given":"Alessandra"},{"family":"Vierstra","given":"Jeff"},{"family":"Wu","given":"Weisheng"},{"family":"Ryba","given":"Tyrone"},{"family":"Sandstrom","given":"Richard"},{"family":"Ma","given":"Zhihai"},{"family":"Davis","given":"Carrie"},{"family":"Pope","given":"Benjamin D."},{"family":"Shen","given":"Yin"},{"family":"Pervouchine","given":"Dmitri D."},{"family":"Djebali","given":"Sarah"},{"family":"Thurman","given":"Bob"},{"family":"Kaul","given":"Rajinder"},{"family":"Rynes","given":"Eric"},{"family":"Kirilusha","given":"Anthony"},{"family":"Marinov","given":"Georgi K."},{"family":"Williams","given":"Brian A."},{"family":"Trout","given":"Diane"},{"family":"Amrhein","given":"Henry"},{"family":"Fisher-Aylor","given":"Katherine"},{"family":"Antoshechkin","given":"Igor"},{"family":"DeSalvo","given":"Gilberto"},{"family":"See","given":"Lei-Hoon"},{"family":"Fastuca","given":"Meagan"},{"family":"Drenkow","given":"Jorg"},{"family":"Zaleski","given":"Chris"},{"family":"Dobin","given":"Alex"},{"family":"Prieto","given":"Pablo"},{"family":"Lagarde","given":"Julien"},{"family":"Bussotti","given":"Giovanni"},{"family":"Tanzer","given":"Andrea"},{"family":"Denas","given":"Olgert"},{"family":"Li","given":"Kanwei"},{"family":"Bender","given":"M. A."},{"family":"Zhang","given":"Miaohua"},{"family":"Byron","given":"Rachel"},{"family":"Groudine","given":"Mark T."},{"family":"McCleary","given":"David"},{"family":"Pham","given":"Long"},{"family":"Ye","given":"Zhen"},{"family":"Kuan","given":"Samantha"},{"family":"Edsall","given":"Lee"},{"family":"Wu","given":"Yi-Chieh"},{"family":"Rasmussen","given":"Matthew D."},{"family":"Bansal","given":"Mukul S."},{"family":"Keller","given":"Cheryl A."},{"family":"Morrissey","given":"Christapher S."},{"family":"Mishra","given":"Tejaswini"},{"family":"Jain","given":"Deepti"},{"family":"Dogan","given":"Nergiz"},{"family":"Harris","given":"Robert S."},{"family":"Cayting","given":"Philip"},{"family":"Kawli","given":"Trupti"},{"family":"Boyle","given":"Alan P."},{"family":"Euskirchen","given":"Ghia"},{"family":"Kundaje","given":"Anshul"},{"family":"Lin","given":"Shin"},{"family":"Lin","given":"Yiing"},{"family":"Jansen","given":"Camden"},{"family":"Malladi","given":"Venkat S."},{"family":"Cline","given":"Melissa S."},{"family":"Erickson","given":"Drew T."},{"family":"Kirkup","given":"Vanessa M"},{"family":"Learned","given":"Katrina"},{"family":"Sloan","given":"Cricket A."},{"family":"Rosenbloom","given":"Kate R."},{"family":"Sousa","given":"Beatriz Lacerda","non-dropping-particle":"de"},{"family":"Beal","given":"Kathryn"},{"family":"Pignatelli","given":"Miguel"},{"family":"Flicek","given":"Paul"},{"family":"Lian","given":"Jin"},{"family":"Kahveci","given":"Tamer"},{"family":"Lee","given":"Dongwon"},{"family":"Kent","given":"W. James"},{"family":"Santos","given":"Miguel Ramalho"},{"family":"Herrero","given":"Javier"},{"family":"Notredame","given":"Cedric"},{"family":"Johnson","given":"Audra"},{"family":"Vong","given":"Shinny"},{"family":"Lee","given":"Kristen"},{"family":"Bates","given":"Daniel"},{"family":"Neri","given":"Fidencio"},{"family":"Diegel","given":"Morgan"},{"family":"Canfield","given":"Theresa"},{"family":"Sabo","given":"Peter J."},{"family":"Wilken","given":"Matthew S."},{"family":"Reh","given":"Thomas A."},{"family":"Giste","given":"Erika"},{"family":"Shafer","given":"Anthony"},{"family":"Kutyavin","given":"Tanya"},{"family":"Haugen","given":"Eric"},{"family":"Dunn","given":"Douglas"},{"family":"Reynolds","given":"Alex P."},{"family":"Neph","given":"Shane"},{"family":"Humbert","given":"Richard"},{"family":"Hansen","given":"R. Scott"},{"family":"De Bruijn","given":"Marella"},{"family":"Selleri","given":"Licia"},{"family":"Rudensky","given":"Alexander"},{"family":"Josefowicz","given":"Steven"},{"family":"Samstein","given":"Robert"},{"family":"Eichler","given":"Evan E."},{"family":"Orkin","given":"Stuart H."},{"family":"Levasseur","given":"Dana"},{"family":"Papayannopoulou","given":"Thalia"},{"family":"Chang","given":"Kai-Hsin"},{"family":"Skoultchi","given":"Arthur"},{"family":"Gosh","given":"Srikanta"},{"family":"Disteche","given":"Christine"},{"family":"Treuting","given":"Piper"},{"family":"Wang","given":"Yanli"},{"family":"Weiss","given":"Mitchell J."},{"family":"Blobel","given":"Gerd A."},{"family":"Good","given":"Peter J."},{"family":"Lowdon","given":"Rebecca F."},{"family":"Adams","given":"Leslie B."},{"family":"Zhou","given":"Xiao-Qiao"},{"family":"Pazin","given":"Michael J."},{"family":"Feingold","given":"Elise A."},{"family":"Wold","given":"Barbara"},{"family":"Taylor","given":"James"},{"family":"Kellis","given":"Manolis"},{"family":"Mortazavi","given":"Ali"},{"family":"Weissman","given":"Sherman M."},{"family":"Stamatoyannopoulos","given":"John"},{"family":"Snyder","given":"Michael P."},{"family":"Guigo","given":"Roderic"},{"family":"Gingeras","given":"Thomas R."},{"family":"Gilbert","given":"David M."},{"family":"Hardison","given":"Ross C."},{"family":"Beer","given":"Michael A."},{"family":"Ren","given":"Bing"}],"issued":{"date-parts":[["2014",11,20]]}}}],"schema":"https://github.com/citation-style-language/schema/raw/master/csl-citation.json"} </w:instrText>
      </w:r>
      <w:r>
        <w:fldChar w:fldCharType="separate"/>
      </w:r>
      <w:r w:rsidR="006C288B" w:rsidRPr="006C288B">
        <w:rPr>
          <w:rFonts w:ascii="Calibri" w:hAnsi="Calibri" w:cs="Calibri"/>
        </w:rPr>
        <w:t>[13]</w:t>
      </w:r>
      <w:r>
        <w:fldChar w:fldCharType="end"/>
      </w:r>
      <w:r>
        <w:t>.</w:t>
      </w:r>
      <w:r w:rsidR="0065646B">
        <w:t xml:space="preserve"> It is expressed at lower levels in a number of other tissue, with moderate expression in the large intestine, bladder, heart, kidney, subcutaneous adipose tissue</w:t>
      </w:r>
      <w:r w:rsidR="00093B9C">
        <w:t xml:space="preserve"> (Figure 6</w:t>
      </w:r>
      <w:r w:rsidR="00D54660">
        <w:t>)</w:t>
      </w:r>
      <w:r w:rsidR="0065646B">
        <w:t>.</w:t>
      </w:r>
    </w:p>
    <w:p w14:paraId="508AB513" w14:textId="77777777" w:rsidR="000F2509" w:rsidRDefault="000F2509" w:rsidP="000F2509"/>
    <w:p w14:paraId="74517D1B" w14:textId="77777777" w:rsidR="004F4585" w:rsidRDefault="004F4585">
      <w:pPr>
        <w:rPr>
          <w:b/>
        </w:rPr>
      </w:pPr>
      <w:r w:rsidRPr="00BA6216">
        <w:rPr>
          <w:b/>
        </w:rPr>
        <w:t>Discussion</w:t>
      </w:r>
    </w:p>
    <w:p w14:paraId="75396187" w14:textId="77777777" w:rsidR="00A427AC" w:rsidRPr="00E57AD4" w:rsidRDefault="00A427AC">
      <w:r w:rsidRPr="00E57AD4">
        <w:rPr>
          <w:i/>
        </w:rPr>
        <w:t xml:space="preserve">Gm7609 </w:t>
      </w:r>
      <w:r w:rsidR="006B1A74">
        <w:t>may code</w:t>
      </w:r>
      <w:r>
        <w:t xml:space="preserve"> for a transmembrane protein at the level of the nuclear membrane. It is expressed in a number of tissue with the highest level of expression in the adult spleen, thymus, and mammary glands. However, as referenced in previous findings, it</w:t>
      </w:r>
      <w:r w:rsidR="00E57AD4">
        <w:t xml:space="preserve"> is</w:t>
      </w:r>
      <w:r>
        <w:t xml:space="preserve"> unclear whether or not this gene is transcribed </w:t>
      </w:r>
      <w:r w:rsidRPr="00A427AC">
        <w:rPr>
          <w:i/>
        </w:rPr>
        <w:t>in vivo</w:t>
      </w:r>
      <w:r>
        <w:t xml:space="preserve">. </w:t>
      </w:r>
      <w:r w:rsidR="0061691D">
        <w:t>Findings in this paper regarding the regulation of the gene support this</w:t>
      </w:r>
      <w:r w:rsidR="006B1A74">
        <w:t xml:space="preserve"> assertion</w:t>
      </w:r>
      <w:r w:rsidR="0061691D">
        <w:t xml:space="preserve">. For example, the promoter </w:t>
      </w:r>
      <w:r w:rsidR="00B810BD">
        <w:t xml:space="preserve">associated with </w:t>
      </w:r>
      <w:r w:rsidR="00B810BD" w:rsidRPr="00B810BD">
        <w:rPr>
          <w:i/>
        </w:rPr>
        <w:t xml:space="preserve">Gm7609 </w:t>
      </w:r>
      <w:r w:rsidR="0061691D">
        <w:t xml:space="preserve">only has the potential to be activated </w:t>
      </w:r>
      <w:r w:rsidR="00660873">
        <w:t>during the embryonic stage; e</w:t>
      </w:r>
      <w:r w:rsidR="0061691D">
        <w:t xml:space="preserve">ven so, </w:t>
      </w:r>
      <w:r w:rsidR="00B810BD">
        <w:rPr>
          <w:i/>
        </w:rPr>
        <w:t>Gm7609</w:t>
      </w:r>
      <w:r w:rsidR="0061691D">
        <w:t xml:space="preserve"> expresses a histone mark associated with gene repression during that stage. </w:t>
      </w:r>
      <w:r w:rsidR="00E57AD4">
        <w:t xml:space="preserve">Despite the evolutionary constraint placed on the curated protein associated with </w:t>
      </w:r>
      <w:r w:rsidR="00E57AD4" w:rsidRPr="00E57AD4">
        <w:rPr>
          <w:i/>
        </w:rPr>
        <w:t>Gm7609</w:t>
      </w:r>
      <w:r w:rsidR="00E57AD4">
        <w:t xml:space="preserve">, the orthology-related findings are ambiguous. </w:t>
      </w:r>
      <w:r w:rsidR="00B77BD6">
        <w:t>More research is needed to better understand the biological significance of this gene and its associated products, if any.</w:t>
      </w:r>
    </w:p>
    <w:p w14:paraId="355F6776" w14:textId="77777777" w:rsidR="004F4585" w:rsidRDefault="004F4585"/>
    <w:p w14:paraId="2810F79B" w14:textId="77777777" w:rsidR="00D83A71" w:rsidRDefault="00D83A71">
      <w:pPr>
        <w:rPr>
          <w:b/>
        </w:rPr>
      </w:pPr>
      <w:r>
        <w:rPr>
          <w:b/>
        </w:rPr>
        <w:br w:type="page"/>
      </w:r>
    </w:p>
    <w:p w14:paraId="2DF7B1B4" w14:textId="77777777" w:rsidR="006F52FA" w:rsidRPr="00082C31" w:rsidRDefault="004F4585">
      <w:pPr>
        <w:rPr>
          <w:b/>
        </w:rPr>
      </w:pPr>
      <w:r w:rsidRPr="00082C31">
        <w:rPr>
          <w:b/>
        </w:rPr>
        <w:lastRenderedPageBreak/>
        <w:t>Reference</w:t>
      </w:r>
      <w:r w:rsidR="006F52FA" w:rsidRPr="00082C31">
        <w:rPr>
          <w:b/>
        </w:rPr>
        <w:t>s</w:t>
      </w:r>
    </w:p>
    <w:p w14:paraId="1269094E" w14:textId="77777777" w:rsidR="006C288B" w:rsidRPr="006C288B" w:rsidRDefault="00082C31" w:rsidP="006C288B">
      <w:pPr>
        <w:pStyle w:val="Bibliography"/>
        <w:rPr>
          <w:rFonts w:ascii="Calibri" w:hAnsi="Calibri" w:cs="Calibri"/>
        </w:rPr>
      </w:pPr>
      <w:r>
        <w:fldChar w:fldCharType="begin"/>
      </w:r>
      <w:r>
        <w:instrText xml:space="preserve"> ADDIN ZOTERO_BIBL {"uncited":[],"omitted":[],"custom":[]} CSL_BIBLIOGRAPHY </w:instrText>
      </w:r>
      <w:r>
        <w:fldChar w:fldCharType="separate"/>
      </w:r>
      <w:r w:rsidR="006C288B" w:rsidRPr="006C288B">
        <w:rPr>
          <w:rFonts w:ascii="Calibri" w:hAnsi="Calibri" w:cs="Calibri"/>
        </w:rPr>
        <w:t>[1]</w:t>
      </w:r>
      <w:r w:rsidR="006C288B" w:rsidRPr="006C288B">
        <w:rPr>
          <w:rFonts w:ascii="Calibri" w:hAnsi="Calibri" w:cs="Calibri"/>
        </w:rPr>
        <w:tab/>
        <w:t xml:space="preserve">W. Traut, I. M. Rahn, H. Winking, B. Kunze, and D. Weichenhan, “Evolution of a 6–200 Mb long-range repeat cluster in the genus Mus,” </w:t>
      </w:r>
      <w:r w:rsidR="006C288B" w:rsidRPr="006C288B">
        <w:rPr>
          <w:rFonts w:ascii="Calibri" w:hAnsi="Calibri" w:cs="Calibri"/>
          <w:i/>
          <w:iCs/>
        </w:rPr>
        <w:t>Chromosoma</w:t>
      </w:r>
      <w:r w:rsidR="006C288B" w:rsidRPr="006C288B">
        <w:rPr>
          <w:rFonts w:ascii="Calibri" w:hAnsi="Calibri" w:cs="Calibri"/>
        </w:rPr>
        <w:t>, vol. 110, no. 4, pp. 247–252, Aug. 2001, doi: 10.1007/s004120100152.</w:t>
      </w:r>
    </w:p>
    <w:p w14:paraId="6296B0AD" w14:textId="77777777" w:rsidR="006C288B" w:rsidRPr="006C288B" w:rsidRDefault="006C288B" w:rsidP="006C288B">
      <w:pPr>
        <w:pStyle w:val="Bibliography"/>
        <w:rPr>
          <w:rFonts w:ascii="Calibri" w:hAnsi="Calibri" w:cs="Calibri"/>
        </w:rPr>
      </w:pPr>
      <w:r w:rsidRPr="006C288B">
        <w:rPr>
          <w:rFonts w:ascii="Calibri" w:hAnsi="Calibri" w:cs="Calibri"/>
        </w:rPr>
        <w:t>[2]</w:t>
      </w:r>
      <w:r w:rsidRPr="006C288B">
        <w:rPr>
          <w:rFonts w:ascii="Calibri" w:hAnsi="Calibri" w:cs="Calibri"/>
        </w:rPr>
        <w:tab/>
        <w:t xml:space="preserve">T. J. Treangen and S. L. Salzberg, “Repetitive DNA and next-generation sequencing: computational challenges and solutions,” </w:t>
      </w:r>
      <w:r w:rsidRPr="006C288B">
        <w:rPr>
          <w:rFonts w:ascii="Calibri" w:hAnsi="Calibri" w:cs="Calibri"/>
          <w:i/>
          <w:iCs/>
        </w:rPr>
        <w:t>Nat. Rev. Genet.</w:t>
      </w:r>
      <w:r w:rsidRPr="006C288B">
        <w:rPr>
          <w:rFonts w:ascii="Calibri" w:hAnsi="Calibri" w:cs="Calibri"/>
        </w:rPr>
        <w:t>, vol. 13, no. 1, pp. 36–46, Jan. 2012, doi: 10.1038/nrg3117.</w:t>
      </w:r>
    </w:p>
    <w:p w14:paraId="4A04D7A8" w14:textId="77777777" w:rsidR="006C288B" w:rsidRPr="006C288B" w:rsidRDefault="006C288B" w:rsidP="006C288B">
      <w:pPr>
        <w:pStyle w:val="Bibliography"/>
        <w:rPr>
          <w:rFonts w:ascii="Calibri" w:hAnsi="Calibri" w:cs="Calibri"/>
        </w:rPr>
      </w:pPr>
      <w:r w:rsidRPr="006C288B">
        <w:rPr>
          <w:rFonts w:ascii="Calibri" w:hAnsi="Calibri" w:cs="Calibri"/>
        </w:rPr>
        <w:t>[3]</w:t>
      </w:r>
      <w:r w:rsidRPr="006C288B">
        <w:rPr>
          <w:rFonts w:ascii="Calibri" w:hAnsi="Calibri" w:cs="Calibri"/>
        </w:rPr>
        <w:tab/>
        <w:t xml:space="preserve">S. Lu </w:t>
      </w:r>
      <w:r w:rsidRPr="006C288B">
        <w:rPr>
          <w:rFonts w:ascii="Calibri" w:hAnsi="Calibri" w:cs="Calibri"/>
          <w:i/>
          <w:iCs/>
        </w:rPr>
        <w:t>et al.</w:t>
      </w:r>
      <w:r w:rsidRPr="006C288B">
        <w:rPr>
          <w:rFonts w:ascii="Calibri" w:hAnsi="Calibri" w:cs="Calibri"/>
        </w:rPr>
        <w:t xml:space="preserve">, “CDD/SPARCLE: the conserved domain database in 2020,” </w:t>
      </w:r>
      <w:r w:rsidRPr="006C288B">
        <w:rPr>
          <w:rFonts w:ascii="Calibri" w:hAnsi="Calibri" w:cs="Calibri"/>
          <w:i/>
          <w:iCs/>
        </w:rPr>
        <w:t>Nucleic Acids Res.</w:t>
      </w:r>
      <w:r w:rsidRPr="006C288B">
        <w:rPr>
          <w:rFonts w:ascii="Calibri" w:hAnsi="Calibri" w:cs="Calibri"/>
        </w:rPr>
        <w:t>, vol. 48, no. D1, pp. D265–D268, Jan. 2020, doi: 10.1093/nar/gkz991.</w:t>
      </w:r>
    </w:p>
    <w:p w14:paraId="36D216B5" w14:textId="77777777" w:rsidR="006C288B" w:rsidRPr="006C288B" w:rsidRDefault="006C288B" w:rsidP="006C288B">
      <w:pPr>
        <w:pStyle w:val="Bibliography"/>
        <w:rPr>
          <w:rFonts w:ascii="Calibri" w:hAnsi="Calibri" w:cs="Calibri"/>
        </w:rPr>
      </w:pPr>
      <w:r w:rsidRPr="006C288B">
        <w:rPr>
          <w:rFonts w:ascii="Calibri" w:hAnsi="Calibri" w:cs="Calibri"/>
        </w:rPr>
        <w:t>[4]</w:t>
      </w:r>
      <w:r w:rsidRPr="006C288B">
        <w:rPr>
          <w:rFonts w:ascii="Calibri" w:hAnsi="Calibri" w:cs="Calibri"/>
        </w:rPr>
        <w:tab/>
        <w:t xml:space="preserve">“Database resources of the National Center for Biotechnology Information,” </w:t>
      </w:r>
      <w:r w:rsidRPr="006C288B">
        <w:rPr>
          <w:rFonts w:ascii="Calibri" w:hAnsi="Calibri" w:cs="Calibri"/>
          <w:i/>
          <w:iCs/>
        </w:rPr>
        <w:t>Nucleic Acids Res.</w:t>
      </w:r>
      <w:r w:rsidRPr="006C288B">
        <w:rPr>
          <w:rFonts w:ascii="Calibri" w:hAnsi="Calibri" w:cs="Calibri"/>
        </w:rPr>
        <w:t>, vol. 46, no. Database issue, pp. D8–D13, Jan. 2018, doi: 10.1093/nar/gkx1095.</w:t>
      </w:r>
    </w:p>
    <w:p w14:paraId="34BDECF4" w14:textId="77777777" w:rsidR="006C288B" w:rsidRPr="006C288B" w:rsidRDefault="006C288B" w:rsidP="006C288B">
      <w:pPr>
        <w:pStyle w:val="Bibliography"/>
        <w:rPr>
          <w:rFonts w:ascii="Calibri" w:hAnsi="Calibri" w:cs="Calibri"/>
        </w:rPr>
      </w:pPr>
      <w:r w:rsidRPr="006C288B">
        <w:rPr>
          <w:rFonts w:ascii="Calibri" w:hAnsi="Calibri" w:cs="Calibri"/>
        </w:rPr>
        <w:t>[5]</w:t>
      </w:r>
      <w:r w:rsidRPr="006C288B">
        <w:rPr>
          <w:rFonts w:ascii="Calibri" w:hAnsi="Calibri" w:cs="Calibri"/>
        </w:rPr>
        <w:tab/>
        <w:t xml:space="preserve">A. L. Mitchell </w:t>
      </w:r>
      <w:r w:rsidRPr="006C288B">
        <w:rPr>
          <w:rFonts w:ascii="Calibri" w:hAnsi="Calibri" w:cs="Calibri"/>
          <w:i/>
          <w:iCs/>
        </w:rPr>
        <w:t>et al.</w:t>
      </w:r>
      <w:r w:rsidRPr="006C288B">
        <w:rPr>
          <w:rFonts w:ascii="Calibri" w:hAnsi="Calibri" w:cs="Calibri"/>
        </w:rPr>
        <w:t xml:space="preserve">, “InterPro in 2019: improving coverage, classification and access to protein sequence annotations,” </w:t>
      </w:r>
      <w:r w:rsidRPr="006C288B">
        <w:rPr>
          <w:rFonts w:ascii="Calibri" w:hAnsi="Calibri" w:cs="Calibri"/>
          <w:i/>
          <w:iCs/>
        </w:rPr>
        <w:t>Nucleic Acids Res.</w:t>
      </w:r>
      <w:r w:rsidRPr="006C288B">
        <w:rPr>
          <w:rFonts w:ascii="Calibri" w:hAnsi="Calibri" w:cs="Calibri"/>
        </w:rPr>
        <w:t>, vol. 47, no. Database issue, pp. D351–D360, Jan. 2019, doi: 10.1093/nar/gky1100.</w:t>
      </w:r>
    </w:p>
    <w:p w14:paraId="75382640" w14:textId="77777777" w:rsidR="006C288B" w:rsidRPr="006C288B" w:rsidRDefault="006C288B" w:rsidP="006C288B">
      <w:pPr>
        <w:pStyle w:val="Bibliography"/>
        <w:rPr>
          <w:rFonts w:ascii="Calibri" w:hAnsi="Calibri" w:cs="Calibri"/>
        </w:rPr>
      </w:pPr>
      <w:r w:rsidRPr="006C288B">
        <w:rPr>
          <w:rFonts w:ascii="Calibri" w:hAnsi="Calibri" w:cs="Calibri"/>
        </w:rPr>
        <w:t>[6]</w:t>
      </w:r>
      <w:r w:rsidRPr="006C288B">
        <w:rPr>
          <w:rFonts w:ascii="Calibri" w:hAnsi="Calibri" w:cs="Calibri"/>
        </w:rPr>
        <w:tab/>
        <w:t xml:space="preserve">F. Cunningham </w:t>
      </w:r>
      <w:r w:rsidRPr="006C288B">
        <w:rPr>
          <w:rFonts w:ascii="Calibri" w:hAnsi="Calibri" w:cs="Calibri"/>
          <w:i/>
          <w:iCs/>
        </w:rPr>
        <w:t>et al.</w:t>
      </w:r>
      <w:r w:rsidRPr="006C288B">
        <w:rPr>
          <w:rFonts w:ascii="Calibri" w:hAnsi="Calibri" w:cs="Calibri"/>
        </w:rPr>
        <w:t xml:space="preserve">, “Ensembl 2019,” </w:t>
      </w:r>
      <w:r w:rsidRPr="006C288B">
        <w:rPr>
          <w:rFonts w:ascii="Calibri" w:hAnsi="Calibri" w:cs="Calibri"/>
          <w:i/>
          <w:iCs/>
        </w:rPr>
        <w:t>Nucleic Acids Res.</w:t>
      </w:r>
      <w:r w:rsidRPr="006C288B">
        <w:rPr>
          <w:rFonts w:ascii="Calibri" w:hAnsi="Calibri" w:cs="Calibri"/>
        </w:rPr>
        <w:t>, vol. 47, no. D1, pp. D745–D751, Jan. 2019, doi: 10.1093/nar/gky1113.</w:t>
      </w:r>
    </w:p>
    <w:p w14:paraId="06206EBF" w14:textId="77777777" w:rsidR="006C288B" w:rsidRPr="006C288B" w:rsidRDefault="006C288B" w:rsidP="006C288B">
      <w:pPr>
        <w:pStyle w:val="Bibliography"/>
        <w:rPr>
          <w:rFonts w:ascii="Calibri" w:hAnsi="Calibri" w:cs="Calibri"/>
        </w:rPr>
      </w:pPr>
      <w:r w:rsidRPr="006C288B">
        <w:rPr>
          <w:rFonts w:ascii="Calibri" w:hAnsi="Calibri" w:cs="Calibri"/>
        </w:rPr>
        <w:t>[7]</w:t>
      </w:r>
      <w:r w:rsidRPr="006C288B">
        <w:rPr>
          <w:rFonts w:ascii="Calibri" w:hAnsi="Calibri" w:cs="Calibri"/>
        </w:rPr>
        <w:tab/>
        <w:t xml:space="preserve">D. R. Zerbino, S. P. Wilder, N. Johnson, T. Juettemann, and P. R. Flicek, “The Ensembl Regulatory Build,” </w:t>
      </w:r>
      <w:r w:rsidRPr="006C288B">
        <w:rPr>
          <w:rFonts w:ascii="Calibri" w:hAnsi="Calibri" w:cs="Calibri"/>
          <w:i/>
          <w:iCs/>
        </w:rPr>
        <w:t>Genome Biol.</w:t>
      </w:r>
      <w:r w:rsidRPr="006C288B">
        <w:rPr>
          <w:rFonts w:ascii="Calibri" w:hAnsi="Calibri" w:cs="Calibri"/>
        </w:rPr>
        <w:t>, vol. 16, no. 1, 2015, doi: 10.1186/s13059-015-0621-5.</w:t>
      </w:r>
    </w:p>
    <w:p w14:paraId="254554DA" w14:textId="77777777" w:rsidR="006C288B" w:rsidRPr="006C288B" w:rsidRDefault="006C288B" w:rsidP="006C288B">
      <w:pPr>
        <w:pStyle w:val="Bibliography"/>
        <w:rPr>
          <w:rFonts w:ascii="Calibri" w:hAnsi="Calibri" w:cs="Calibri"/>
        </w:rPr>
      </w:pPr>
      <w:r w:rsidRPr="006C288B">
        <w:rPr>
          <w:rFonts w:ascii="Calibri" w:hAnsi="Calibri" w:cs="Calibri"/>
        </w:rPr>
        <w:t>[8]</w:t>
      </w:r>
      <w:r w:rsidRPr="006C288B">
        <w:rPr>
          <w:rFonts w:ascii="Calibri" w:hAnsi="Calibri" w:cs="Calibri"/>
        </w:rPr>
        <w:tab/>
        <w:t xml:space="preserve">W. J. Kent </w:t>
      </w:r>
      <w:r w:rsidRPr="006C288B">
        <w:rPr>
          <w:rFonts w:ascii="Calibri" w:hAnsi="Calibri" w:cs="Calibri"/>
          <w:i/>
          <w:iCs/>
        </w:rPr>
        <w:t>et al.</w:t>
      </w:r>
      <w:r w:rsidRPr="006C288B">
        <w:rPr>
          <w:rFonts w:ascii="Calibri" w:hAnsi="Calibri" w:cs="Calibri"/>
        </w:rPr>
        <w:t xml:space="preserve">, “The Human Genome Browser at UCSC,” </w:t>
      </w:r>
      <w:r w:rsidRPr="006C288B">
        <w:rPr>
          <w:rFonts w:ascii="Calibri" w:hAnsi="Calibri" w:cs="Calibri"/>
          <w:i/>
          <w:iCs/>
        </w:rPr>
        <w:t>Genome Res.</w:t>
      </w:r>
      <w:r w:rsidRPr="006C288B">
        <w:rPr>
          <w:rFonts w:ascii="Calibri" w:hAnsi="Calibri" w:cs="Calibri"/>
        </w:rPr>
        <w:t>, vol. 12, no. 6, pp. 996–1006, Jun. 2002, doi: 10.1101/gr.229102.</w:t>
      </w:r>
    </w:p>
    <w:p w14:paraId="6FD50343" w14:textId="77777777" w:rsidR="006C288B" w:rsidRPr="006C288B" w:rsidRDefault="006C288B" w:rsidP="006C288B">
      <w:pPr>
        <w:pStyle w:val="Bibliography"/>
        <w:rPr>
          <w:rFonts w:ascii="Calibri" w:hAnsi="Calibri" w:cs="Calibri"/>
        </w:rPr>
      </w:pPr>
      <w:r w:rsidRPr="006C288B">
        <w:rPr>
          <w:rFonts w:ascii="Calibri" w:hAnsi="Calibri" w:cs="Calibri"/>
        </w:rPr>
        <w:t>[9]</w:t>
      </w:r>
      <w:r w:rsidRPr="006C288B">
        <w:rPr>
          <w:rFonts w:ascii="Calibri" w:hAnsi="Calibri" w:cs="Calibri"/>
        </w:rPr>
        <w:tab/>
        <w:t xml:space="preserve">J. S. Becker, D. Nicetto, and K. S. Zaret, “H3K9me3-Dependent Heterochromatin: Barrier to Cell Fate Changes,” </w:t>
      </w:r>
      <w:r w:rsidRPr="006C288B">
        <w:rPr>
          <w:rFonts w:ascii="Calibri" w:hAnsi="Calibri" w:cs="Calibri"/>
          <w:i/>
          <w:iCs/>
        </w:rPr>
        <w:t>Trends Genet. TIG</w:t>
      </w:r>
      <w:r w:rsidRPr="006C288B">
        <w:rPr>
          <w:rFonts w:ascii="Calibri" w:hAnsi="Calibri" w:cs="Calibri"/>
        </w:rPr>
        <w:t>, vol. 32, no. 1, pp. 29–41, Jan. 2016, doi: 10.1016/j.tig.2015.11.001.</w:t>
      </w:r>
    </w:p>
    <w:p w14:paraId="59EB19E6" w14:textId="77777777" w:rsidR="006C288B" w:rsidRPr="006C288B" w:rsidRDefault="006C288B" w:rsidP="006C288B">
      <w:pPr>
        <w:pStyle w:val="Bibliography"/>
        <w:rPr>
          <w:rFonts w:ascii="Calibri" w:hAnsi="Calibri" w:cs="Calibri"/>
        </w:rPr>
      </w:pPr>
      <w:r w:rsidRPr="006C288B">
        <w:rPr>
          <w:rFonts w:ascii="Calibri" w:hAnsi="Calibri" w:cs="Calibri"/>
        </w:rPr>
        <w:t>[10]</w:t>
      </w:r>
      <w:r w:rsidRPr="006C288B">
        <w:rPr>
          <w:rFonts w:ascii="Calibri" w:hAnsi="Calibri" w:cs="Calibri"/>
        </w:rPr>
        <w:tab/>
        <w:t xml:space="preserve">S. F. Altschul </w:t>
      </w:r>
      <w:r w:rsidRPr="006C288B">
        <w:rPr>
          <w:rFonts w:ascii="Calibri" w:hAnsi="Calibri" w:cs="Calibri"/>
          <w:i/>
          <w:iCs/>
        </w:rPr>
        <w:t>et al.</w:t>
      </w:r>
      <w:r w:rsidRPr="006C288B">
        <w:rPr>
          <w:rFonts w:ascii="Calibri" w:hAnsi="Calibri" w:cs="Calibri"/>
        </w:rPr>
        <w:t xml:space="preserve">, “Gapped BLAST and PSI-BLAST: a new generation of protein database search programs.,” </w:t>
      </w:r>
      <w:r w:rsidRPr="006C288B">
        <w:rPr>
          <w:rFonts w:ascii="Calibri" w:hAnsi="Calibri" w:cs="Calibri"/>
          <w:i/>
          <w:iCs/>
        </w:rPr>
        <w:t>Nucleic Acids Res.</w:t>
      </w:r>
      <w:r w:rsidRPr="006C288B">
        <w:rPr>
          <w:rFonts w:ascii="Calibri" w:hAnsi="Calibri" w:cs="Calibri"/>
        </w:rPr>
        <w:t>, vol. 25, no. 17, pp. 3389–3402, Sep. 1997.</w:t>
      </w:r>
    </w:p>
    <w:p w14:paraId="2B4D7070" w14:textId="77777777" w:rsidR="006C288B" w:rsidRPr="006C288B" w:rsidRDefault="006C288B" w:rsidP="006C288B">
      <w:pPr>
        <w:pStyle w:val="Bibliography"/>
        <w:rPr>
          <w:rFonts w:ascii="Calibri" w:hAnsi="Calibri" w:cs="Calibri"/>
        </w:rPr>
      </w:pPr>
      <w:r w:rsidRPr="006C288B">
        <w:rPr>
          <w:rFonts w:ascii="Calibri" w:hAnsi="Calibri" w:cs="Calibri"/>
        </w:rPr>
        <w:t>[11]</w:t>
      </w:r>
      <w:r w:rsidRPr="006C288B">
        <w:rPr>
          <w:rFonts w:ascii="Calibri" w:hAnsi="Calibri" w:cs="Calibri"/>
        </w:rPr>
        <w:tab/>
        <w:t xml:space="preserve">“UniProt: a worldwide hub of protein knowledge,” </w:t>
      </w:r>
      <w:r w:rsidRPr="006C288B">
        <w:rPr>
          <w:rFonts w:ascii="Calibri" w:hAnsi="Calibri" w:cs="Calibri"/>
          <w:i/>
          <w:iCs/>
        </w:rPr>
        <w:t>Nucleic Acids Res.</w:t>
      </w:r>
      <w:r w:rsidRPr="006C288B">
        <w:rPr>
          <w:rFonts w:ascii="Calibri" w:hAnsi="Calibri" w:cs="Calibri"/>
        </w:rPr>
        <w:t>, vol. 47, no. D1, pp. D506–D515, Jan. 2019, doi: 10.1093/nar/gky1049.</w:t>
      </w:r>
    </w:p>
    <w:p w14:paraId="54DF3108" w14:textId="77777777" w:rsidR="006C288B" w:rsidRPr="006C288B" w:rsidRDefault="006C288B" w:rsidP="006C288B">
      <w:pPr>
        <w:pStyle w:val="Bibliography"/>
        <w:rPr>
          <w:rFonts w:ascii="Calibri" w:hAnsi="Calibri" w:cs="Calibri"/>
        </w:rPr>
      </w:pPr>
      <w:r w:rsidRPr="006C288B">
        <w:rPr>
          <w:rFonts w:ascii="Calibri" w:hAnsi="Calibri" w:cs="Calibri"/>
        </w:rPr>
        <w:t>[12]</w:t>
      </w:r>
      <w:r w:rsidRPr="006C288B">
        <w:rPr>
          <w:rFonts w:ascii="Calibri" w:hAnsi="Calibri" w:cs="Calibri"/>
        </w:rPr>
        <w:tab/>
        <w:t xml:space="preserve">J. Kyte and R. F. Doolittle, “A simple method for displaying the hydropathic character of a protein,” </w:t>
      </w:r>
      <w:r w:rsidRPr="006C288B">
        <w:rPr>
          <w:rFonts w:ascii="Calibri" w:hAnsi="Calibri" w:cs="Calibri"/>
          <w:i/>
          <w:iCs/>
        </w:rPr>
        <w:t>J. Mol. Biol.</w:t>
      </w:r>
      <w:r w:rsidRPr="006C288B">
        <w:rPr>
          <w:rFonts w:ascii="Calibri" w:hAnsi="Calibri" w:cs="Calibri"/>
        </w:rPr>
        <w:t>, vol. 157, no. 1, pp. 105–132, May 1982, doi: 10.1016/0022-2836(82)90515-0.</w:t>
      </w:r>
    </w:p>
    <w:p w14:paraId="1168F087" w14:textId="77777777" w:rsidR="006C288B" w:rsidRPr="006C288B" w:rsidRDefault="006C288B" w:rsidP="006C288B">
      <w:pPr>
        <w:pStyle w:val="Bibliography"/>
        <w:rPr>
          <w:rFonts w:ascii="Calibri" w:hAnsi="Calibri" w:cs="Calibri"/>
        </w:rPr>
      </w:pPr>
      <w:r w:rsidRPr="006C288B">
        <w:rPr>
          <w:rFonts w:ascii="Calibri" w:hAnsi="Calibri" w:cs="Calibri"/>
        </w:rPr>
        <w:t>[13]</w:t>
      </w:r>
      <w:r w:rsidRPr="006C288B">
        <w:rPr>
          <w:rFonts w:ascii="Calibri" w:hAnsi="Calibri" w:cs="Calibri"/>
        </w:rPr>
        <w:tab/>
        <w:t xml:space="preserve">F. Yue </w:t>
      </w:r>
      <w:r w:rsidRPr="006C288B">
        <w:rPr>
          <w:rFonts w:ascii="Calibri" w:hAnsi="Calibri" w:cs="Calibri"/>
          <w:i/>
          <w:iCs/>
        </w:rPr>
        <w:t>et al.</w:t>
      </w:r>
      <w:r w:rsidRPr="006C288B">
        <w:rPr>
          <w:rFonts w:ascii="Calibri" w:hAnsi="Calibri" w:cs="Calibri"/>
        </w:rPr>
        <w:t xml:space="preserve">, “A Comparative Encyclopedia of DNA Elements in the Mouse Genome,” </w:t>
      </w:r>
      <w:r w:rsidRPr="006C288B">
        <w:rPr>
          <w:rFonts w:ascii="Calibri" w:hAnsi="Calibri" w:cs="Calibri"/>
          <w:i/>
          <w:iCs/>
        </w:rPr>
        <w:t>Nature</w:t>
      </w:r>
      <w:r w:rsidRPr="006C288B">
        <w:rPr>
          <w:rFonts w:ascii="Calibri" w:hAnsi="Calibri" w:cs="Calibri"/>
        </w:rPr>
        <w:t>, vol. 515, no. 7527, pp. 355–364, Nov. 2014, doi: 10.1038/nature13992.</w:t>
      </w:r>
    </w:p>
    <w:p w14:paraId="01E01EBF" w14:textId="77777777" w:rsidR="00F514B6" w:rsidRDefault="00082C31">
      <w:r>
        <w:fldChar w:fldCharType="end"/>
      </w:r>
    </w:p>
    <w:p w14:paraId="0E08459B" w14:textId="77777777" w:rsidR="00F514B6" w:rsidRDefault="00F514B6">
      <w:r>
        <w:br w:type="page"/>
      </w:r>
    </w:p>
    <w:p w14:paraId="6E62F1F9" w14:textId="77777777" w:rsidR="00C7636A" w:rsidRDefault="00C7636A" w:rsidP="00C7636A">
      <w:r>
        <w:lastRenderedPageBreak/>
        <w:t>Figure 1</w:t>
      </w:r>
      <w:r w:rsidR="00E67607">
        <w:t xml:space="preserve">. Transcripts and exons of </w:t>
      </w:r>
      <w:r w:rsidR="00E67607" w:rsidRPr="00813728">
        <w:rPr>
          <w:i/>
        </w:rPr>
        <w:t>Gm7609</w:t>
      </w:r>
    </w:p>
    <w:p w14:paraId="64E9C3CF" w14:textId="77777777" w:rsidR="00E67607" w:rsidRDefault="00813728" w:rsidP="00813728">
      <w:pPr>
        <w:pStyle w:val="ListParagraph"/>
        <w:numPr>
          <w:ilvl w:val="0"/>
          <w:numId w:val="1"/>
        </w:numPr>
      </w:pPr>
      <w:r w:rsidRPr="00813728">
        <w:rPr>
          <w:i/>
        </w:rPr>
        <w:t>Gm7609</w:t>
      </w:r>
      <w:r>
        <w:t xml:space="preserve"> as shown using </w:t>
      </w:r>
      <w:r w:rsidR="00E67607">
        <w:t xml:space="preserve">NCBI </w:t>
      </w:r>
      <w:r w:rsidR="00E67607" w:rsidRPr="00813728">
        <w:rPr>
          <w:i/>
        </w:rPr>
        <w:t>Mus musculus</w:t>
      </w:r>
      <w:r w:rsidR="00E67607">
        <w:t xml:space="preserve"> Annotation Release 108</w:t>
      </w:r>
    </w:p>
    <w:p w14:paraId="7709BAD5" w14:textId="77777777" w:rsidR="00C7636A" w:rsidRDefault="00C7636A" w:rsidP="00C7636A">
      <w:r>
        <w:rPr>
          <w:noProof/>
        </w:rPr>
        <w:drawing>
          <wp:inline distT="0" distB="0" distL="0" distR="0" wp14:anchorId="74AEF73B" wp14:editId="774F934F">
            <wp:extent cx="5943600" cy="14255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425575"/>
                    </a:xfrm>
                    <a:prstGeom prst="rect">
                      <a:avLst/>
                    </a:prstGeom>
                  </pic:spPr>
                </pic:pic>
              </a:graphicData>
            </a:graphic>
          </wp:inline>
        </w:drawing>
      </w:r>
    </w:p>
    <w:p w14:paraId="4B516707" w14:textId="77777777" w:rsidR="00813728" w:rsidRDefault="00813728" w:rsidP="00C7636A"/>
    <w:p w14:paraId="0CEA55E2" w14:textId="77777777" w:rsidR="00813728" w:rsidRDefault="00813728" w:rsidP="00813728">
      <w:pPr>
        <w:pStyle w:val="ListParagraph"/>
        <w:numPr>
          <w:ilvl w:val="0"/>
          <w:numId w:val="1"/>
        </w:numPr>
      </w:pPr>
      <w:r w:rsidRPr="00C7636A">
        <w:rPr>
          <w:i/>
        </w:rPr>
        <w:t>Gm7609</w:t>
      </w:r>
      <w:r>
        <w:t xml:space="preserve"> as shown using Ensembl Release 99</w:t>
      </w:r>
    </w:p>
    <w:p w14:paraId="14ED6684" w14:textId="77777777" w:rsidR="00C7636A" w:rsidRDefault="00C7636A" w:rsidP="00C7636A">
      <w:r>
        <w:rPr>
          <w:noProof/>
        </w:rPr>
        <w:drawing>
          <wp:anchor distT="0" distB="0" distL="114300" distR="114300" simplePos="0" relativeHeight="251659264" behindDoc="0" locked="0" layoutInCell="1" allowOverlap="1" wp14:anchorId="42D327B9" wp14:editId="39A7BEF2">
            <wp:simplePos x="914400" y="2743200"/>
            <wp:positionH relativeFrom="column">
              <wp:align>left</wp:align>
            </wp:positionH>
            <wp:positionV relativeFrom="paragraph">
              <wp:align>top</wp:align>
            </wp:positionV>
            <wp:extent cx="3937000" cy="1654718"/>
            <wp:effectExtent l="0" t="0" r="6350"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37000" cy="1654718"/>
                    </a:xfrm>
                    <a:prstGeom prst="rect">
                      <a:avLst/>
                    </a:prstGeom>
                  </pic:spPr>
                </pic:pic>
              </a:graphicData>
            </a:graphic>
          </wp:anchor>
        </w:drawing>
      </w:r>
      <w:r>
        <w:br w:type="textWrapping" w:clear="all"/>
      </w:r>
    </w:p>
    <w:p w14:paraId="72829E42" w14:textId="77777777" w:rsidR="00813728" w:rsidRDefault="00107730" w:rsidP="00107730">
      <w:pPr>
        <w:pStyle w:val="ListParagraph"/>
        <w:numPr>
          <w:ilvl w:val="0"/>
          <w:numId w:val="1"/>
        </w:numPr>
      </w:pPr>
      <w:r w:rsidRPr="00C7636A">
        <w:rPr>
          <w:i/>
        </w:rPr>
        <w:t>Gm7609</w:t>
      </w:r>
      <w:r>
        <w:t xml:space="preserve"> as shown using UCSB Genome Browser (GRCm38/mm10)</w:t>
      </w:r>
    </w:p>
    <w:p w14:paraId="17FE2EAF" w14:textId="77777777" w:rsidR="00C7636A" w:rsidRDefault="00C7636A" w:rsidP="00C7636A">
      <w:r>
        <w:rPr>
          <w:noProof/>
        </w:rPr>
        <w:drawing>
          <wp:inline distT="0" distB="0" distL="0" distR="0" wp14:anchorId="7355227A" wp14:editId="241896FC">
            <wp:extent cx="5943600" cy="363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3855"/>
                    </a:xfrm>
                    <a:prstGeom prst="rect">
                      <a:avLst/>
                    </a:prstGeom>
                  </pic:spPr>
                </pic:pic>
              </a:graphicData>
            </a:graphic>
          </wp:inline>
        </w:drawing>
      </w:r>
    </w:p>
    <w:p w14:paraId="0D51A7D9" w14:textId="77777777" w:rsidR="00C7636A" w:rsidRDefault="00C7636A">
      <w:r>
        <w:br w:type="page"/>
      </w:r>
    </w:p>
    <w:p w14:paraId="10A0F31F" w14:textId="77777777" w:rsidR="000D050D" w:rsidRPr="00613C0D" w:rsidRDefault="000D050D" w:rsidP="000D050D">
      <w:pPr>
        <w:rPr>
          <w:rFonts w:ascii="Times New Roman" w:eastAsia="Times New Roman" w:hAnsi="Times New Roman" w:cs="Times New Roman"/>
          <w:sz w:val="24"/>
          <w:szCs w:val="24"/>
        </w:rPr>
      </w:pPr>
      <w:r>
        <w:lastRenderedPageBreak/>
        <w:t xml:space="preserve">Figure 2. Lineage of organisms with significant sequence alignments </w:t>
      </w:r>
      <w:r w:rsidRPr="00613C0D">
        <w:t xml:space="preserve">for </w:t>
      </w:r>
      <w:r w:rsidRPr="00613C0D">
        <w:rPr>
          <w:rFonts w:ascii="Times New Roman" w:eastAsia="Times New Roman" w:hAnsi="Times New Roman" w:cs="Times New Roman"/>
          <w:sz w:val="24"/>
          <w:szCs w:val="24"/>
        </w:rPr>
        <w:t>NP_001075215.1</w:t>
      </w:r>
    </w:p>
    <w:p w14:paraId="099BA416" w14:textId="77777777" w:rsidR="000D050D" w:rsidRDefault="000D050D" w:rsidP="000D050D">
      <w:r>
        <w:rPr>
          <w:noProof/>
        </w:rPr>
        <w:drawing>
          <wp:inline distT="0" distB="0" distL="0" distR="0" wp14:anchorId="5E651457" wp14:editId="66CA42CB">
            <wp:extent cx="5943600" cy="48729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872990"/>
                    </a:xfrm>
                    <a:prstGeom prst="rect">
                      <a:avLst/>
                    </a:prstGeom>
                  </pic:spPr>
                </pic:pic>
              </a:graphicData>
            </a:graphic>
          </wp:inline>
        </w:drawing>
      </w:r>
      <w:r>
        <w:t xml:space="preserve"> </w:t>
      </w:r>
    </w:p>
    <w:p w14:paraId="32F29FD5" w14:textId="77777777" w:rsidR="000D050D" w:rsidRDefault="000D050D" w:rsidP="000D050D">
      <w:r>
        <w:rPr>
          <w:noProof/>
        </w:rPr>
        <w:drawing>
          <wp:inline distT="0" distB="0" distL="0" distR="0" wp14:anchorId="787142E1" wp14:editId="2C1FA97A">
            <wp:extent cx="5943600" cy="15367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36700"/>
                    </a:xfrm>
                    <a:prstGeom prst="rect">
                      <a:avLst/>
                    </a:prstGeom>
                  </pic:spPr>
                </pic:pic>
              </a:graphicData>
            </a:graphic>
          </wp:inline>
        </w:drawing>
      </w:r>
      <w:r>
        <w:t xml:space="preserve"> </w:t>
      </w:r>
      <w:r>
        <w:br w:type="page"/>
      </w:r>
    </w:p>
    <w:p w14:paraId="20EA7EEE" w14:textId="77777777" w:rsidR="00FF06B9" w:rsidRDefault="000D050D">
      <w:r>
        <w:lastRenderedPageBreak/>
        <w:t>Figure 3</w:t>
      </w:r>
      <w:r w:rsidR="00FF06B9">
        <w:t xml:space="preserve">: </w:t>
      </w:r>
      <w:r w:rsidR="00532399">
        <w:t>Gene regulation associated with</w:t>
      </w:r>
      <w:r w:rsidR="00FF06B9">
        <w:t xml:space="preserve"> </w:t>
      </w:r>
      <w:r w:rsidR="00FF06B9" w:rsidRPr="0034083F">
        <w:rPr>
          <w:i/>
        </w:rPr>
        <w:t>Gm7609</w:t>
      </w:r>
      <w:r w:rsidR="00FF06B9">
        <w:t xml:space="preserve"> </w:t>
      </w:r>
    </w:p>
    <w:p w14:paraId="5F142E0D" w14:textId="77777777" w:rsidR="00532399" w:rsidRDefault="00532399" w:rsidP="00885A35">
      <w:pPr>
        <w:pStyle w:val="ListParagraph"/>
        <w:numPr>
          <w:ilvl w:val="0"/>
          <w:numId w:val="2"/>
        </w:numPr>
      </w:pPr>
      <w:r>
        <w:t>Regulatory build in Ensembl</w:t>
      </w:r>
    </w:p>
    <w:p w14:paraId="24378E67" w14:textId="77777777" w:rsidR="007253C4" w:rsidRDefault="00FF06B9">
      <w:r>
        <w:rPr>
          <w:noProof/>
        </w:rPr>
        <w:drawing>
          <wp:inline distT="0" distB="0" distL="0" distR="0" wp14:anchorId="55B56AFC" wp14:editId="2BD63232">
            <wp:extent cx="5943600" cy="10883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88390"/>
                    </a:xfrm>
                    <a:prstGeom prst="rect">
                      <a:avLst/>
                    </a:prstGeom>
                  </pic:spPr>
                </pic:pic>
              </a:graphicData>
            </a:graphic>
          </wp:inline>
        </w:drawing>
      </w:r>
    </w:p>
    <w:p w14:paraId="025ECB8E" w14:textId="77777777" w:rsidR="007253C4" w:rsidRDefault="007253C4">
      <w:r>
        <w:rPr>
          <w:noProof/>
        </w:rPr>
        <w:drawing>
          <wp:inline distT="0" distB="0" distL="0" distR="0" wp14:anchorId="53506A2D" wp14:editId="4F061B29">
            <wp:extent cx="5943600" cy="3790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9095"/>
                    </a:xfrm>
                    <a:prstGeom prst="rect">
                      <a:avLst/>
                    </a:prstGeom>
                  </pic:spPr>
                </pic:pic>
              </a:graphicData>
            </a:graphic>
          </wp:inline>
        </w:drawing>
      </w:r>
    </w:p>
    <w:p w14:paraId="09B3BAAA" w14:textId="77777777" w:rsidR="00532399" w:rsidRDefault="00532399"/>
    <w:p w14:paraId="4F0CC874" w14:textId="77777777" w:rsidR="00532399" w:rsidRDefault="00532399" w:rsidP="00885A35">
      <w:pPr>
        <w:pStyle w:val="ListParagraph"/>
        <w:numPr>
          <w:ilvl w:val="0"/>
          <w:numId w:val="2"/>
        </w:numPr>
      </w:pPr>
      <w:r>
        <w:t>UCSB Genome Browser chromatin state from embryonic tissue</w:t>
      </w:r>
    </w:p>
    <w:p w14:paraId="3872D98E" w14:textId="77777777" w:rsidR="00640FAF" w:rsidRDefault="00396091">
      <w:r>
        <w:rPr>
          <w:noProof/>
        </w:rPr>
        <w:drawing>
          <wp:inline distT="0" distB="0" distL="0" distR="0" wp14:anchorId="384CD36E" wp14:editId="7657ED23">
            <wp:extent cx="5943600" cy="896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96620"/>
                    </a:xfrm>
                    <a:prstGeom prst="rect">
                      <a:avLst/>
                    </a:prstGeom>
                  </pic:spPr>
                </pic:pic>
              </a:graphicData>
            </a:graphic>
          </wp:inline>
        </w:drawing>
      </w:r>
    </w:p>
    <w:p w14:paraId="2910FBD2" w14:textId="77777777" w:rsidR="00640FAF" w:rsidRDefault="00640FAF">
      <w:r>
        <w:br w:type="page"/>
      </w:r>
    </w:p>
    <w:p w14:paraId="0B997BF6" w14:textId="77777777" w:rsidR="00640FAF" w:rsidRDefault="00640FAF" w:rsidP="00640FAF">
      <w:r>
        <w:lastRenderedPageBreak/>
        <w:t xml:space="preserve">Figure 4. Subcellular localization of </w:t>
      </w:r>
      <w:r w:rsidRPr="0049565F">
        <w:rPr>
          <w:i/>
        </w:rPr>
        <w:t>Gm7609</w:t>
      </w:r>
      <w:r>
        <w:t>-associated protein</w:t>
      </w:r>
    </w:p>
    <w:p w14:paraId="1A354996" w14:textId="77777777" w:rsidR="00640FAF" w:rsidRDefault="00640FAF" w:rsidP="00640FAF">
      <w:r>
        <w:rPr>
          <w:noProof/>
        </w:rPr>
        <w:drawing>
          <wp:inline distT="0" distB="0" distL="0" distR="0" wp14:anchorId="2631512D" wp14:editId="4D03EFC2">
            <wp:extent cx="3149600" cy="22918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53133" cy="2294443"/>
                    </a:xfrm>
                    <a:prstGeom prst="rect">
                      <a:avLst/>
                    </a:prstGeom>
                  </pic:spPr>
                </pic:pic>
              </a:graphicData>
            </a:graphic>
          </wp:inline>
        </w:drawing>
      </w:r>
    </w:p>
    <w:p w14:paraId="0954C255" w14:textId="77777777" w:rsidR="00640FAF" w:rsidRDefault="00640FAF" w:rsidP="00640FAF"/>
    <w:p w14:paraId="13AFEB42" w14:textId="77777777" w:rsidR="00640FAF" w:rsidRDefault="00640FAF" w:rsidP="00640FAF"/>
    <w:p w14:paraId="5EE0F52D" w14:textId="77777777" w:rsidR="00640FAF" w:rsidRDefault="00640FAF" w:rsidP="00640FAF"/>
    <w:p w14:paraId="772AB402" w14:textId="77777777" w:rsidR="00862E17" w:rsidRDefault="00862E17" w:rsidP="00640FAF"/>
    <w:p w14:paraId="3C48A9D0" w14:textId="77777777" w:rsidR="00862E17" w:rsidRDefault="00862E17" w:rsidP="00640FAF"/>
    <w:p w14:paraId="4AA7586B" w14:textId="77777777" w:rsidR="00640FAF" w:rsidRDefault="00640FAF" w:rsidP="00640FAF"/>
    <w:p w14:paraId="10F7E222" w14:textId="77777777" w:rsidR="00640FAF" w:rsidRDefault="00640FAF" w:rsidP="00597977">
      <w:r>
        <w:t xml:space="preserve">Figure 5: </w:t>
      </w:r>
      <w:r w:rsidR="00597977">
        <w:t>H</w:t>
      </w:r>
      <w:r>
        <w:t>ydrophobicity profile</w:t>
      </w:r>
      <w:r w:rsidR="00597977">
        <w:t xml:space="preserve"> for uncharacterized mouse protein Q3U0D6</w:t>
      </w:r>
    </w:p>
    <w:p w14:paraId="10AADCFD" w14:textId="77777777" w:rsidR="00640FAF" w:rsidRDefault="00640FAF" w:rsidP="00640FAF">
      <w:r>
        <w:rPr>
          <w:noProof/>
        </w:rPr>
        <w:drawing>
          <wp:inline distT="0" distB="0" distL="0" distR="0" wp14:anchorId="2B11B919" wp14:editId="61F6C2D4">
            <wp:extent cx="2616200" cy="20602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2440" cy="2080921"/>
                    </a:xfrm>
                    <a:prstGeom prst="rect">
                      <a:avLst/>
                    </a:prstGeom>
                  </pic:spPr>
                </pic:pic>
              </a:graphicData>
            </a:graphic>
          </wp:inline>
        </w:drawing>
      </w:r>
      <w:r>
        <w:rPr>
          <w:noProof/>
        </w:rPr>
        <w:drawing>
          <wp:inline distT="0" distB="0" distL="0" distR="0" wp14:anchorId="529D3B8C" wp14:editId="75023F5A">
            <wp:extent cx="2760133" cy="207924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6623" cy="2091664"/>
                    </a:xfrm>
                    <a:prstGeom prst="rect">
                      <a:avLst/>
                    </a:prstGeom>
                  </pic:spPr>
                </pic:pic>
              </a:graphicData>
            </a:graphic>
          </wp:inline>
        </w:drawing>
      </w:r>
    </w:p>
    <w:p w14:paraId="05EC96F4" w14:textId="77777777" w:rsidR="006C288B" w:rsidRDefault="006C288B">
      <w:r>
        <w:br w:type="page"/>
      </w:r>
    </w:p>
    <w:p w14:paraId="6067B53A" w14:textId="77777777" w:rsidR="00D54660" w:rsidRDefault="006C288B">
      <w:r>
        <w:lastRenderedPageBreak/>
        <w:t>Figure 6</w:t>
      </w:r>
      <w:r w:rsidR="00D54660">
        <w:t xml:space="preserve">. Mouse ENCODE transcriptome data for </w:t>
      </w:r>
      <w:r w:rsidR="00D54660" w:rsidRPr="002B3676">
        <w:rPr>
          <w:i/>
        </w:rPr>
        <w:t>Gm7609</w:t>
      </w:r>
    </w:p>
    <w:p w14:paraId="05A060D1" w14:textId="77777777" w:rsidR="00D54660" w:rsidRDefault="00D54660">
      <w:r>
        <w:rPr>
          <w:noProof/>
        </w:rPr>
        <w:drawing>
          <wp:inline distT="0" distB="0" distL="0" distR="0" wp14:anchorId="72454333" wp14:editId="662FDDC2">
            <wp:extent cx="5943600" cy="2743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43835"/>
                    </a:xfrm>
                    <a:prstGeom prst="rect">
                      <a:avLst/>
                    </a:prstGeom>
                  </pic:spPr>
                </pic:pic>
              </a:graphicData>
            </a:graphic>
          </wp:inline>
        </w:drawing>
      </w:r>
    </w:p>
    <w:sectPr w:rsidR="00D546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8643DD"/>
    <w:multiLevelType w:val="hybridMultilevel"/>
    <w:tmpl w:val="0DEC907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65DF586A"/>
    <w:multiLevelType w:val="hybridMultilevel"/>
    <w:tmpl w:val="5C28D00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CE8"/>
    <w:rsid w:val="00011A81"/>
    <w:rsid w:val="00030450"/>
    <w:rsid w:val="00055BC5"/>
    <w:rsid w:val="00082C31"/>
    <w:rsid w:val="000848BE"/>
    <w:rsid w:val="00093B9C"/>
    <w:rsid w:val="000A14DF"/>
    <w:rsid w:val="000D050D"/>
    <w:rsid w:val="000F2509"/>
    <w:rsid w:val="00105307"/>
    <w:rsid w:val="00107730"/>
    <w:rsid w:val="0011467B"/>
    <w:rsid w:val="0011473F"/>
    <w:rsid w:val="001236A4"/>
    <w:rsid w:val="00127DAA"/>
    <w:rsid w:val="00175506"/>
    <w:rsid w:val="00182C65"/>
    <w:rsid w:val="00183326"/>
    <w:rsid w:val="001848EF"/>
    <w:rsid w:val="001869B1"/>
    <w:rsid w:val="00194099"/>
    <w:rsid w:val="00197801"/>
    <w:rsid w:val="001A276C"/>
    <w:rsid w:val="001A3461"/>
    <w:rsid w:val="001A689F"/>
    <w:rsid w:val="001B3FF8"/>
    <w:rsid w:val="001B434A"/>
    <w:rsid w:val="001B5640"/>
    <w:rsid w:val="001C6530"/>
    <w:rsid w:val="001F3DE4"/>
    <w:rsid w:val="00217B2E"/>
    <w:rsid w:val="00221797"/>
    <w:rsid w:val="00237514"/>
    <w:rsid w:val="002804E2"/>
    <w:rsid w:val="0028118B"/>
    <w:rsid w:val="002A0256"/>
    <w:rsid w:val="002B3676"/>
    <w:rsid w:val="002C02EB"/>
    <w:rsid w:val="002C0B09"/>
    <w:rsid w:val="002C1728"/>
    <w:rsid w:val="002E1CE8"/>
    <w:rsid w:val="002E2FD3"/>
    <w:rsid w:val="002E7B89"/>
    <w:rsid w:val="00316F98"/>
    <w:rsid w:val="00326FEB"/>
    <w:rsid w:val="00340804"/>
    <w:rsid w:val="0034083F"/>
    <w:rsid w:val="003604B7"/>
    <w:rsid w:val="0038145B"/>
    <w:rsid w:val="00396091"/>
    <w:rsid w:val="003A260A"/>
    <w:rsid w:val="003B7D1D"/>
    <w:rsid w:val="003F537F"/>
    <w:rsid w:val="00405FF3"/>
    <w:rsid w:val="0042099C"/>
    <w:rsid w:val="00421937"/>
    <w:rsid w:val="00422033"/>
    <w:rsid w:val="00422225"/>
    <w:rsid w:val="004514AA"/>
    <w:rsid w:val="00455E67"/>
    <w:rsid w:val="00483A72"/>
    <w:rsid w:val="0049565F"/>
    <w:rsid w:val="004A2BAD"/>
    <w:rsid w:val="004B4AFB"/>
    <w:rsid w:val="004C382D"/>
    <w:rsid w:val="004C4229"/>
    <w:rsid w:val="004D6B45"/>
    <w:rsid w:val="004F4585"/>
    <w:rsid w:val="0050357C"/>
    <w:rsid w:val="00513570"/>
    <w:rsid w:val="005139DD"/>
    <w:rsid w:val="00532399"/>
    <w:rsid w:val="005400F2"/>
    <w:rsid w:val="00560DF5"/>
    <w:rsid w:val="00560E02"/>
    <w:rsid w:val="005773C3"/>
    <w:rsid w:val="00591DCF"/>
    <w:rsid w:val="00592F32"/>
    <w:rsid w:val="00594D84"/>
    <w:rsid w:val="00597977"/>
    <w:rsid w:val="005A0D8C"/>
    <w:rsid w:val="005A5752"/>
    <w:rsid w:val="005B7F56"/>
    <w:rsid w:val="005D5F8E"/>
    <w:rsid w:val="005E4392"/>
    <w:rsid w:val="006138DC"/>
    <w:rsid w:val="00613C0D"/>
    <w:rsid w:val="0061691D"/>
    <w:rsid w:val="00623CF7"/>
    <w:rsid w:val="00624167"/>
    <w:rsid w:val="006256FD"/>
    <w:rsid w:val="006266F4"/>
    <w:rsid w:val="00636DBF"/>
    <w:rsid w:val="00640FAF"/>
    <w:rsid w:val="006502DA"/>
    <w:rsid w:val="006561A1"/>
    <w:rsid w:val="0065646B"/>
    <w:rsid w:val="00660873"/>
    <w:rsid w:val="00666D71"/>
    <w:rsid w:val="00667D90"/>
    <w:rsid w:val="0069515E"/>
    <w:rsid w:val="006B1A74"/>
    <w:rsid w:val="006C288B"/>
    <w:rsid w:val="006D42EF"/>
    <w:rsid w:val="006D6842"/>
    <w:rsid w:val="006E0457"/>
    <w:rsid w:val="006F52FA"/>
    <w:rsid w:val="006F6009"/>
    <w:rsid w:val="0070683F"/>
    <w:rsid w:val="00721C62"/>
    <w:rsid w:val="007253C4"/>
    <w:rsid w:val="00732073"/>
    <w:rsid w:val="007333C1"/>
    <w:rsid w:val="00740587"/>
    <w:rsid w:val="0075121C"/>
    <w:rsid w:val="00776424"/>
    <w:rsid w:val="00796B45"/>
    <w:rsid w:val="00797C4F"/>
    <w:rsid w:val="007C157D"/>
    <w:rsid w:val="007C23A2"/>
    <w:rsid w:val="007D0743"/>
    <w:rsid w:val="007E6A53"/>
    <w:rsid w:val="00801E69"/>
    <w:rsid w:val="00802AA2"/>
    <w:rsid w:val="008117AE"/>
    <w:rsid w:val="00813728"/>
    <w:rsid w:val="008333A4"/>
    <w:rsid w:val="00835761"/>
    <w:rsid w:val="00861A0C"/>
    <w:rsid w:val="00862E17"/>
    <w:rsid w:val="00885396"/>
    <w:rsid w:val="00885A35"/>
    <w:rsid w:val="008A02B5"/>
    <w:rsid w:val="008C492F"/>
    <w:rsid w:val="00902C7C"/>
    <w:rsid w:val="00902E61"/>
    <w:rsid w:val="00940A9B"/>
    <w:rsid w:val="00965BF9"/>
    <w:rsid w:val="009873B1"/>
    <w:rsid w:val="009A0549"/>
    <w:rsid w:val="009A0EC5"/>
    <w:rsid w:val="009B6E98"/>
    <w:rsid w:val="009C148B"/>
    <w:rsid w:val="009C6C87"/>
    <w:rsid w:val="00A0052A"/>
    <w:rsid w:val="00A258CC"/>
    <w:rsid w:val="00A31EAE"/>
    <w:rsid w:val="00A36F6D"/>
    <w:rsid w:val="00A427AC"/>
    <w:rsid w:val="00AA2D9A"/>
    <w:rsid w:val="00AC388A"/>
    <w:rsid w:val="00B05D8D"/>
    <w:rsid w:val="00B16DE3"/>
    <w:rsid w:val="00B21D54"/>
    <w:rsid w:val="00B44FFE"/>
    <w:rsid w:val="00B521A2"/>
    <w:rsid w:val="00B77BD6"/>
    <w:rsid w:val="00B810BD"/>
    <w:rsid w:val="00B86CA4"/>
    <w:rsid w:val="00BA6216"/>
    <w:rsid w:val="00BA73F9"/>
    <w:rsid w:val="00BB5E47"/>
    <w:rsid w:val="00BF1E7C"/>
    <w:rsid w:val="00C32233"/>
    <w:rsid w:val="00C33586"/>
    <w:rsid w:val="00C54EDE"/>
    <w:rsid w:val="00C73EDD"/>
    <w:rsid w:val="00C7636A"/>
    <w:rsid w:val="00C91A64"/>
    <w:rsid w:val="00CD6AF6"/>
    <w:rsid w:val="00CF70E6"/>
    <w:rsid w:val="00D20540"/>
    <w:rsid w:val="00D22147"/>
    <w:rsid w:val="00D32924"/>
    <w:rsid w:val="00D32B2C"/>
    <w:rsid w:val="00D3677E"/>
    <w:rsid w:val="00D5377E"/>
    <w:rsid w:val="00D54660"/>
    <w:rsid w:val="00D763C8"/>
    <w:rsid w:val="00D83A71"/>
    <w:rsid w:val="00D9790D"/>
    <w:rsid w:val="00DA5806"/>
    <w:rsid w:val="00DB663D"/>
    <w:rsid w:val="00DD4C58"/>
    <w:rsid w:val="00DE2F84"/>
    <w:rsid w:val="00DE3A54"/>
    <w:rsid w:val="00E07E6A"/>
    <w:rsid w:val="00E553CB"/>
    <w:rsid w:val="00E57AD4"/>
    <w:rsid w:val="00E66B90"/>
    <w:rsid w:val="00E67607"/>
    <w:rsid w:val="00E92BE7"/>
    <w:rsid w:val="00EF6776"/>
    <w:rsid w:val="00F1573B"/>
    <w:rsid w:val="00F15FBC"/>
    <w:rsid w:val="00F40704"/>
    <w:rsid w:val="00F514B6"/>
    <w:rsid w:val="00F6774E"/>
    <w:rsid w:val="00FA574A"/>
    <w:rsid w:val="00FB3655"/>
    <w:rsid w:val="00FC2652"/>
    <w:rsid w:val="00FC3A14"/>
    <w:rsid w:val="00FC6000"/>
    <w:rsid w:val="00FD76D9"/>
    <w:rsid w:val="00FE1AF5"/>
    <w:rsid w:val="00FF06B9"/>
    <w:rsid w:val="00FF175F"/>
    <w:rsid w:val="00FF28EE"/>
    <w:rsid w:val="00FF4F46"/>
    <w:rsid w:val="00FF76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25C4C"/>
  <w15:chartTrackingRefBased/>
  <w15:docId w15:val="{EE978DF6-3C3D-47AE-B7CB-3F61B9E50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082C31"/>
    <w:pPr>
      <w:tabs>
        <w:tab w:val="left" w:pos="384"/>
      </w:tabs>
      <w:spacing w:after="0" w:line="240" w:lineRule="auto"/>
      <w:ind w:left="384" w:hanging="384"/>
    </w:pPr>
  </w:style>
  <w:style w:type="character" w:customStyle="1" w:styleId="tooltipcontent">
    <w:name w:val="tooltipcontent"/>
    <w:basedOn w:val="DefaultParagraphFont"/>
    <w:rsid w:val="00C54EDE"/>
  </w:style>
  <w:style w:type="paragraph" w:styleId="HTMLPreformatted">
    <w:name w:val="HTML Preformatted"/>
    <w:basedOn w:val="Normal"/>
    <w:link w:val="HTMLPreformattedChar"/>
    <w:uiPriority w:val="99"/>
    <w:semiHidden/>
    <w:unhideWhenUsed/>
    <w:rsid w:val="00FF4F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F4F46"/>
    <w:rPr>
      <w:rFonts w:ascii="Courier New" w:eastAsia="Times New Roman" w:hAnsi="Courier New" w:cs="Courier New"/>
      <w:sz w:val="20"/>
      <w:szCs w:val="20"/>
    </w:rPr>
  </w:style>
  <w:style w:type="character" w:styleId="Hyperlink">
    <w:name w:val="Hyperlink"/>
    <w:basedOn w:val="DefaultParagraphFont"/>
    <w:uiPriority w:val="99"/>
    <w:semiHidden/>
    <w:unhideWhenUsed/>
    <w:rsid w:val="00E553CB"/>
    <w:rPr>
      <w:color w:val="0000FF"/>
      <w:u w:val="single"/>
    </w:rPr>
  </w:style>
  <w:style w:type="character" w:customStyle="1" w:styleId="titlestyletitle-id-domain06">
    <w:name w:val="title_style__title-id-domain___06"/>
    <w:basedOn w:val="DefaultParagraphFont"/>
    <w:rsid w:val="00340804"/>
  </w:style>
  <w:style w:type="paragraph" w:styleId="ListParagraph">
    <w:name w:val="List Paragraph"/>
    <w:basedOn w:val="Normal"/>
    <w:uiPriority w:val="34"/>
    <w:qFormat/>
    <w:rsid w:val="00813728"/>
    <w:pPr>
      <w:ind w:left="720"/>
      <w:contextualSpacing/>
    </w:pPr>
  </w:style>
  <w:style w:type="character" w:styleId="CommentReference">
    <w:name w:val="annotation reference"/>
    <w:basedOn w:val="DefaultParagraphFont"/>
    <w:uiPriority w:val="99"/>
    <w:semiHidden/>
    <w:unhideWhenUsed/>
    <w:rsid w:val="005D5F8E"/>
    <w:rPr>
      <w:sz w:val="16"/>
      <w:szCs w:val="16"/>
    </w:rPr>
  </w:style>
  <w:style w:type="paragraph" w:styleId="CommentText">
    <w:name w:val="annotation text"/>
    <w:basedOn w:val="Normal"/>
    <w:link w:val="CommentTextChar"/>
    <w:uiPriority w:val="99"/>
    <w:semiHidden/>
    <w:unhideWhenUsed/>
    <w:rsid w:val="005D5F8E"/>
    <w:pPr>
      <w:spacing w:line="240" w:lineRule="auto"/>
    </w:pPr>
    <w:rPr>
      <w:sz w:val="20"/>
      <w:szCs w:val="20"/>
    </w:rPr>
  </w:style>
  <w:style w:type="character" w:customStyle="1" w:styleId="CommentTextChar">
    <w:name w:val="Comment Text Char"/>
    <w:basedOn w:val="DefaultParagraphFont"/>
    <w:link w:val="CommentText"/>
    <w:uiPriority w:val="99"/>
    <w:semiHidden/>
    <w:rsid w:val="005D5F8E"/>
    <w:rPr>
      <w:sz w:val="20"/>
      <w:szCs w:val="20"/>
    </w:rPr>
  </w:style>
  <w:style w:type="paragraph" w:styleId="CommentSubject">
    <w:name w:val="annotation subject"/>
    <w:basedOn w:val="CommentText"/>
    <w:next w:val="CommentText"/>
    <w:link w:val="CommentSubjectChar"/>
    <w:uiPriority w:val="99"/>
    <w:semiHidden/>
    <w:unhideWhenUsed/>
    <w:rsid w:val="005D5F8E"/>
    <w:rPr>
      <w:b/>
      <w:bCs/>
    </w:rPr>
  </w:style>
  <w:style w:type="character" w:customStyle="1" w:styleId="CommentSubjectChar">
    <w:name w:val="Comment Subject Char"/>
    <w:basedOn w:val="CommentTextChar"/>
    <w:link w:val="CommentSubject"/>
    <w:uiPriority w:val="99"/>
    <w:semiHidden/>
    <w:rsid w:val="005D5F8E"/>
    <w:rPr>
      <w:b/>
      <w:bCs/>
      <w:sz w:val="20"/>
      <w:szCs w:val="20"/>
    </w:rPr>
  </w:style>
  <w:style w:type="paragraph" w:styleId="BalloonText">
    <w:name w:val="Balloon Text"/>
    <w:basedOn w:val="Normal"/>
    <w:link w:val="BalloonTextChar"/>
    <w:uiPriority w:val="99"/>
    <w:semiHidden/>
    <w:unhideWhenUsed/>
    <w:rsid w:val="005D5F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5F8E"/>
    <w:rPr>
      <w:rFonts w:ascii="Segoe UI" w:hAnsi="Segoe UI" w:cs="Segoe UI"/>
      <w:sz w:val="18"/>
      <w:szCs w:val="18"/>
    </w:rPr>
  </w:style>
  <w:style w:type="paragraph" w:styleId="NormalWeb">
    <w:name w:val="Normal (Web)"/>
    <w:basedOn w:val="Normal"/>
    <w:uiPriority w:val="99"/>
    <w:semiHidden/>
    <w:unhideWhenUsed/>
    <w:rsid w:val="005D5F8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4629532">
      <w:bodyDiv w:val="1"/>
      <w:marLeft w:val="0"/>
      <w:marRight w:val="0"/>
      <w:marTop w:val="0"/>
      <w:marBottom w:val="0"/>
      <w:divBdr>
        <w:top w:val="none" w:sz="0" w:space="0" w:color="auto"/>
        <w:left w:val="none" w:sz="0" w:space="0" w:color="auto"/>
        <w:bottom w:val="none" w:sz="0" w:space="0" w:color="auto"/>
        <w:right w:val="none" w:sz="0" w:space="0" w:color="auto"/>
      </w:divBdr>
    </w:div>
    <w:div w:id="331838251">
      <w:bodyDiv w:val="1"/>
      <w:marLeft w:val="0"/>
      <w:marRight w:val="0"/>
      <w:marTop w:val="0"/>
      <w:marBottom w:val="0"/>
      <w:divBdr>
        <w:top w:val="none" w:sz="0" w:space="0" w:color="auto"/>
        <w:left w:val="none" w:sz="0" w:space="0" w:color="auto"/>
        <w:bottom w:val="none" w:sz="0" w:space="0" w:color="auto"/>
        <w:right w:val="none" w:sz="0" w:space="0" w:color="auto"/>
      </w:divBdr>
    </w:div>
    <w:div w:id="972100527">
      <w:bodyDiv w:val="1"/>
      <w:marLeft w:val="0"/>
      <w:marRight w:val="0"/>
      <w:marTop w:val="0"/>
      <w:marBottom w:val="0"/>
      <w:divBdr>
        <w:top w:val="none" w:sz="0" w:space="0" w:color="auto"/>
        <w:left w:val="none" w:sz="0" w:space="0" w:color="auto"/>
        <w:bottom w:val="none" w:sz="0" w:space="0" w:color="auto"/>
        <w:right w:val="none" w:sz="0" w:space="0" w:color="auto"/>
      </w:divBdr>
    </w:div>
    <w:div w:id="1645085818">
      <w:bodyDiv w:val="1"/>
      <w:marLeft w:val="0"/>
      <w:marRight w:val="0"/>
      <w:marTop w:val="0"/>
      <w:marBottom w:val="0"/>
      <w:divBdr>
        <w:top w:val="none" w:sz="0" w:space="0" w:color="auto"/>
        <w:left w:val="none" w:sz="0" w:space="0" w:color="auto"/>
        <w:bottom w:val="none" w:sz="0" w:space="0" w:color="auto"/>
        <w:right w:val="none" w:sz="0" w:space="0" w:color="auto"/>
      </w:divBdr>
    </w:div>
    <w:div w:id="1786121317">
      <w:bodyDiv w:val="1"/>
      <w:marLeft w:val="0"/>
      <w:marRight w:val="0"/>
      <w:marTop w:val="0"/>
      <w:marBottom w:val="0"/>
      <w:divBdr>
        <w:top w:val="none" w:sz="0" w:space="0" w:color="auto"/>
        <w:left w:val="none" w:sz="0" w:space="0" w:color="auto"/>
        <w:bottom w:val="none" w:sz="0" w:space="0" w:color="auto"/>
        <w:right w:val="none" w:sz="0" w:space="0" w:color="auto"/>
      </w:divBdr>
      <w:divsChild>
        <w:div w:id="20301777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9</Pages>
  <Words>7030</Words>
  <Characters>40076</Characters>
  <Application>Microsoft Office Word</Application>
  <DocSecurity>0</DocSecurity>
  <Lines>333</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nguyenet</dc:creator>
  <cp:keywords/>
  <dc:description/>
  <cp:lastModifiedBy>nguyenet</cp:lastModifiedBy>
  <cp:revision>3</cp:revision>
  <dcterms:created xsi:type="dcterms:W3CDTF">2020-06-25T05:14:00Z</dcterms:created>
  <dcterms:modified xsi:type="dcterms:W3CDTF">2020-06-25T05:17:00Z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id="reV6Uhtr"/&gt;&lt;style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