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E10C3" w14:textId="77777777" w:rsidR="001D7761" w:rsidRPr="001D7761" w:rsidRDefault="001D7761" w:rsidP="001D7761">
      <w:pPr>
        <w:rPr>
          <w:b/>
          <w:bCs/>
          <w:sz w:val="32"/>
          <w:szCs w:val="32"/>
        </w:rPr>
      </w:pPr>
      <w:r w:rsidRPr="001D7761">
        <w:rPr>
          <w:b/>
          <w:bCs/>
          <w:sz w:val="32"/>
          <w:szCs w:val="32"/>
        </w:rPr>
        <w:t>Propuesta de Adaptación de Máquinas de Soporte Vectorial para la Predicción Temprana de Deserción Estudiantil Universitaria bajo Diferentes Métodos de Normalización</w:t>
      </w:r>
    </w:p>
    <w:p w14:paraId="08A6090C" w14:textId="77777777" w:rsidR="001D7761" w:rsidRPr="001D7761" w:rsidRDefault="001D7761" w:rsidP="001D7761">
      <w:p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Integrantes:</w:t>
      </w:r>
    </w:p>
    <w:p w14:paraId="64B5BCBE" w14:textId="77777777" w:rsidR="001D7761" w:rsidRPr="001D7761" w:rsidRDefault="001D7761" w:rsidP="001D7761">
      <w:pPr>
        <w:numPr>
          <w:ilvl w:val="0"/>
          <w:numId w:val="10"/>
        </w:numPr>
        <w:rPr>
          <w:sz w:val="22"/>
          <w:szCs w:val="22"/>
        </w:rPr>
      </w:pPr>
      <w:r w:rsidRPr="001D7761">
        <w:rPr>
          <w:sz w:val="22"/>
          <w:szCs w:val="22"/>
        </w:rPr>
        <w:t xml:space="preserve">Sara </w:t>
      </w:r>
      <w:proofErr w:type="spellStart"/>
      <w:r w:rsidRPr="001D7761">
        <w:rPr>
          <w:sz w:val="22"/>
          <w:szCs w:val="22"/>
        </w:rPr>
        <w:t>Lopez</w:t>
      </w:r>
      <w:proofErr w:type="spellEnd"/>
      <w:r w:rsidRPr="001D7761">
        <w:rPr>
          <w:sz w:val="22"/>
          <w:szCs w:val="22"/>
        </w:rPr>
        <w:t xml:space="preserve"> Chavarro</w:t>
      </w:r>
    </w:p>
    <w:p w14:paraId="2B16A562" w14:textId="77777777" w:rsidR="001D7761" w:rsidRPr="001D7761" w:rsidRDefault="001D7761" w:rsidP="001D7761">
      <w:pPr>
        <w:numPr>
          <w:ilvl w:val="0"/>
          <w:numId w:val="10"/>
        </w:numPr>
        <w:rPr>
          <w:sz w:val="22"/>
          <w:szCs w:val="22"/>
        </w:rPr>
      </w:pPr>
      <w:r w:rsidRPr="001D7761">
        <w:rPr>
          <w:sz w:val="22"/>
          <w:szCs w:val="22"/>
        </w:rPr>
        <w:t>Nicolas Figeroa</w:t>
      </w:r>
    </w:p>
    <w:p w14:paraId="1ED36AB5" w14:textId="77777777" w:rsidR="001D7761" w:rsidRPr="001D7761" w:rsidRDefault="001D7761" w:rsidP="001D7761">
      <w:pPr>
        <w:numPr>
          <w:ilvl w:val="0"/>
          <w:numId w:val="10"/>
        </w:numPr>
        <w:rPr>
          <w:sz w:val="22"/>
          <w:szCs w:val="22"/>
        </w:rPr>
      </w:pPr>
      <w:r w:rsidRPr="001D7761">
        <w:rPr>
          <w:sz w:val="22"/>
          <w:szCs w:val="22"/>
        </w:rPr>
        <w:t>Arnold Torres</w:t>
      </w:r>
    </w:p>
    <w:p w14:paraId="4CBE5F7B" w14:textId="77777777" w:rsidR="001D7761" w:rsidRDefault="001D7761" w:rsidP="001D7761">
      <w:pPr>
        <w:rPr>
          <w:b/>
          <w:bCs/>
          <w:sz w:val="22"/>
          <w:szCs w:val="22"/>
        </w:rPr>
      </w:pPr>
    </w:p>
    <w:p w14:paraId="2A801D3A" w14:textId="02521C0F" w:rsidR="001D7761" w:rsidRPr="001D7761" w:rsidRDefault="001D7761" w:rsidP="001D7761">
      <w:pPr>
        <w:rPr>
          <w:b/>
          <w:bCs/>
          <w:sz w:val="28"/>
          <w:szCs w:val="28"/>
        </w:rPr>
      </w:pPr>
      <w:r w:rsidRPr="001D7761">
        <w:rPr>
          <w:b/>
          <w:bCs/>
          <w:sz w:val="28"/>
          <w:szCs w:val="28"/>
        </w:rPr>
        <w:t>1. El problema</w:t>
      </w:r>
      <w:r>
        <w:rPr>
          <w:b/>
          <w:bCs/>
          <w:sz w:val="28"/>
          <w:szCs w:val="28"/>
        </w:rPr>
        <w:t xml:space="preserve"> planteado en el articulo</w:t>
      </w:r>
    </w:p>
    <w:p w14:paraId="0FEE1077" w14:textId="397F0FA3" w:rsidR="001D7761" w:rsidRPr="001D7761" w:rsidRDefault="001D7761" w:rsidP="001D7761">
      <w:pPr>
        <w:rPr>
          <w:sz w:val="22"/>
          <w:szCs w:val="22"/>
        </w:rPr>
      </w:pPr>
      <w:r w:rsidRPr="001D7761">
        <w:rPr>
          <w:sz w:val="22"/>
          <w:szCs w:val="22"/>
        </w:rPr>
        <w:t>El artícul</w:t>
      </w:r>
      <w:r w:rsidR="00A22502">
        <w:rPr>
          <w:sz w:val="22"/>
          <w:szCs w:val="22"/>
        </w:rPr>
        <w:t xml:space="preserve">o </w:t>
      </w:r>
      <w:r w:rsidRPr="001D7761">
        <w:rPr>
          <w:sz w:val="22"/>
          <w:szCs w:val="22"/>
        </w:rPr>
        <w:t xml:space="preserve">seleccionado, titulado </w:t>
      </w:r>
      <w:r w:rsidRPr="001D7761">
        <w:rPr>
          <w:i/>
          <w:iCs/>
          <w:sz w:val="22"/>
          <w:szCs w:val="22"/>
        </w:rPr>
        <w:t>"</w:t>
      </w:r>
      <w:proofErr w:type="spellStart"/>
      <w:r w:rsidRPr="001D7761">
        <w:rPr>
          <w:i/>
          <w:iCs/>
          <w:sz w:val="22"/>
          <w:szCs w:val="22"/>
        </w:rPr>
        <w:t>Support</w:t>
      </w:r>
      <w:proofErr w:type="spellEnd"/>
      <w:r w:rsidRPr="001D7761">
        <w:rPr>
          <w:i/>
          <w:iCs/>
          <w:sz w:val="22"/>
          <w:szCs w:val="22"/>
        </w:rPr>
        <w:t xml:space="preserve"> Vector Machine </w:t>
      </w:r>
      <w:proofErr w:type="spellStart"/>
      <w:r w:rsidRPr="001D7761">
        <w:rPr>
          <w:i/>
          <w:iCs/>
          <w:sz w:val="22"/>
          <w:szCs w:val="22"/>
        </w:rPr>
        <w:t>for</w:t>
      </w:r>
      <w:proofErr w:type="spellEnd"/>
      <w:r w:rsidRPr="001D7761">
        <w:rPr>
          <w:i/>
          <w:iCs/>
          <w:sz w:val="22"/>
          <w:szCs w:val="22"/>
        </w:rPr>
        <w:t xml:space="preserve"> </w:t>
      </w:r>
      <w:proofErr w:type="spellStart"/>
      <w:r w:rsidRPr="001D7761">
        <w:rPr>
          <w:i/>
          <w:iCs/>
          <w:sz w:val="22"/>
          <w:szCs w:val="22"/>
        </w:rPr>
        <w:t>Predicting</w:t>
      </w:r>
      <w:proofErr w:type="spellEnd"/>
      <w:r w:rsidRPr="001D7761">
        <w:rPr>
          <w:i/>
          <w:iCs/>
          <w:sz w:val="22"/>
          <w:szCs w:val="22"/>
        </w:rPr>
        <w:t xml:space="preserve"> Student </w:t>
      </w:r>
      <w:proofErr w:type="spellStart"/>
      <w:r w:rsidRPr="001D7761">
        <w:rPr>
          <w:i/>
          <w:iCs/>
          <w:sz w:val="22"/>
          <w:szCs w:val="22"/>
        </w:rPr>
        <w:t>Dropout</w:t>
      </w:r>
      <w:proofErr w:type="spellEnd"/>
      <w:r w:rsidRPr="001D7761">
        <w:rPr>
          <w:i/>
          <w:iCs/>
          <w:sz w:val="22"/>
          <w:szCs w:val="22"/>
        </w:rPr>
        <w:t xml:space="preserve"> </w:t>
      </w:r>
      <w:proofErr w:type="spellStart"/>
      <w:r w:rsidRPr="001D7761">
        <w:rPr>
          <w:i/>
          <w:iCs/>
          <w:sz w:val="22"/>
          <w:szCs w:val="22"/>
        </w:rPr>
        <w:t>Under</w:t>
      </w:r>
      <w:proofErr w:type="spellEnd"/>
      <w:r w:rsidRPr="001D7761">
        <w:rPr>
          <w:i/>
          <w:iCs/>
          <w:sz w:val="22"/>
          <w:szCs w:val="22"/>
        </w:rPr>
        <w:t xml:space="preserve"> </w:t>
      </w:r>
      <w:proofErr w:type="spellStart"/>
      <w:r w:rsidRPr="001D7761">
        <w:rPr>
          <w:i/>
          <w:iCs/>
          <w:sz w:val="22"/>
          <w:szCs w:val="22"/>
        </w:rPr>
        <w:t>Different</w:t>
      </w:r>
      <w:proofErr w:type="spellEnd"/>
      <w:r w:rsidRPr="001D7761">
        <w:rPr>
          <w:i/>
          <w:iCs/>
          <w:sz w:val="22"/>
          <w:szCs w:val="22"/>
        </w:rPr>
        <w:t xml:space="preserve"> </w:t>
      </w:r>
      <w:proofErr w:type="spellStart"/>
      <w:r w:rsidRPr="001D7761">
        <w:rPr>
          <w:i/>
          <w:iCs/>
          <w:sz w:val="22"/>
          <w:szCs w:val="22"/>
        </w:rPr>
        <w:t>Normalization</w:t>
      </w:r>
      <w:proofErr w:type="spellEnd"/>
      <w:r w:rsidRPr="001D7761">
        <w:rPr>
          <w:i/>
          <w:iCs/>
          <w:sz w:val="22"/>
          <w:szCs w:val="22"/>
        </w:rPr>
        <w:t xml:space="preserve"> </w:t>
      </w:r>
      <w:proofErr w:type="spellStart"/>
      <w:r w:rsidRPr="001D7761">
        <w:rPr>
          <w:i/>
          <w:iCs/>
          <w:sz w:val="22"/>
          <w:szCs w:val="22"/>
        </w:rPr>
        <w:t>Methods</w:t>
      </w:r>
      <w:proofErr w:type="spellEnd"/>
      <w:r w:rsidRPr="001D7761">
        <w:rPr>
          <w:i/>
          <w:iCs/>
          <w:sz w:val="22"/>
          <w:szCs w:val="22"/>
        </w:rPr>
        <w:t>"</w:t>
      </w:r>
      <w:r w:rsidRPr="001D7761">
        <w:rPr>
          <w:sz w:val="22"/>
          <w:szCs w:val="22"/>
        </w:rPr>
        <w:t xml:space="preserve"> aborda la problemática de la deserción y el retraso en la graduación en la educación superior. Este fenómeno </w:t>
      </w:r>
      <w:r w:rsidR="008D7AAE">
        <w:rPr>
          <w:sz w:val="22"/>
          <w:szCs w:val="22"/>
        </w:rPr>
        <w:t xml:space="preserve">genera problemas para los </w:t>
      </w:r>
      <w:r w:rsidRPr="001D7761">
        <w:rPr>
          <w:sz w:val="22"/>
          <w:szCs w:val="22"/>
        </w:rPr>
        <w:t>estudiantes</w:t>
      </w:r>
      <w:r w:rsidR="008D7AAE">
        <w:rPr>
          <w:sz w:val="22"/>
          <w:szCs w:val="22"/>
        </w:rPr>
        <w:t xml:space="preserve">: endeudamiento, pérdida de tiempo y problemas </w:t>
      </w:r>
      <w:r w:rsidR="00780787">
        <w:rPr>
          <w:sz w:val="22"/>
          <w:szCs w:val="22"/>
        </w:rPr>
        <w:t xml:space="preserve">psicológicos, </w:t>
      </w:r>
      <w:r w:rsidR="00780787" w:rsidRPr="001D7761">
        <w:rPr>
          <w:sz w:val="22"/>
          <w:szCs w:val="22"/>
        </w:rPr>
        <w:t>como</w:t>
      </w:r>
      <w:r w:rsidRPr="001D7761">
        <w:rPr>
          <w:sz w:val="22"/>
          <w:szCs w:val="22"/>
        </w:rPr>
        <w:t xml:space="preserve"> para las instituciones</w:t>
      </w:r>
      <w:r w:rsidR="00780787">
        <w:rPr>
          <w:sz w:val="22"/>
          <w:szCs w:val="22"/>
        </w:rPr>
        <w:t xml:space="preserve"> educativas</w:t>
      </w:r>
      <w:r w:rsidR="008D7AAE">
        <w:rPr>
          <w:sz w:val="22"/>
          <w:szCs w:val="22"/>
        </w:rPr>
        <w:t>: retención de estudiantes y perdida de recursos (tutorías)</w:t>
      </w:r>
      <w:r w:rsidRPr="001D7761">
        <w:rPr>
          <w:sz w:val="22"/>
          <w:szCs w:val="22"/>
        </w:rPr>
        <w:t xml:space="preserve">. La detección temprana de estudiantes en riesgo es un desafío complejo debido a la influencia multifactorial de variables socioeconómicas, demográficas y académicas. </w:t>
      </w:r>
      <w:sdt>
        <w:sdtPr>
          <w:rPr>
            <w:sz w:val="22"/>
            <w:szCs w:val="22"/>
          </w:rPr>
          <w:id w:val="796181536"/>
          <w:citation/>
        </w:sdtPr>
        <w:sdtContent>
          <w:r w:rsidR="008D7AAE">
            <w:rPr>
              <w:sz w:val="22"/>
              <w:szCs w:val="22"/>
            </w:rPr>
            <w:fldChar w:fldCharType="begin"/>
          </w:r>
          <w:r w:rsidR="00780787">
            <w:rPr>
              <w:sz w:val="22"/>
              <w:szCs w:val="22"/>
              <w:lang w:val="es-MX"/>
            </w:rPr>
            <w:instrText xml:space="preserve">CITATION Bot24 \p 8633 \l 2058 </w:instrText>
          </w:r>
          <w:r w:rsidR="008D7AAE">
            <w:rPr>
              <w:sz w:val="22"/>
              <w:szCs w:val="22"/>
            </w:rPr>
            <w:fldChar w:fldCharType="separate"/>
          </w:r>
          <w:r w:rsidR="00F708FC" w:rsidRPr="00F708FC">
            <w:rPr>
              <w:noProof/>
              <w:sz w:val="22"/>
              <w:szCs w:val="22"/>
              <w:lang w:val="es-MX"/>
            </w:rPr>
            <w:t>(Boteju, Tang, &amp; Scott Brown, 2024, pág. 8633)</w:t>
          </w:r>
          <w:r w:rsidR="008D7AAE">
            <w:rPr>
              <w:sz w:val="22"/>
              <w:szCs w:val="22"/>
            </w:rPr>
            <w:fldChar w:fldCharType="end"/>
          </w:r>
        </w:sdtContent>
      </w:sdt>
    </w:p>
    <w:p w14:paraId="3AFA6944" w14:textId="1A3719DF" w:rsidR="001D7761" w:rsidRPr="001D7761" w:rsidRDefault="001D7761" w:rsidP="001D7761">
      <w:pPr>
        <w:rPr>
          <w:b/>
          <w:bCs/>
          <w:sz w:val="28"/>
          <w:szCs w:val="28"/>
        </w:rPr>
      </w:pPr>
      <w:r w:rsidRPr="001D7761">
        <w:rPr>
          <w:b/>
          <w:bCs/>
          <w:sz w:val="28"/>
          <w:szCs w:val="28"/>
        </w:rPr>
        <w:t>2. El método</w:t>
      </w:r>
      <w:r>
        <w:rPr>
          <w:b/>
          <w:bCs/>
          <w:sz w:val="28"/>
          <w:szCs w:val="28"/>
        </w:rPr>
        <w:t xml:space="preserve"> usado en el articulo</w:t>
      </w:r>
    </w:p>
    <w:p w14:paraId="261F2873" w14:textId="10670C59" w:rsidR="00D12FC1" w:rsidRDefault="001D7761" w:rsidP="001D7761">
      <w:pPr>
        <w:rPr>
          <w:sz w:val="22"/>
          <w:szCs w:val="22"/>
        </w:rPr>
      </w:pPr>
      <w:r w:rsidRPr="001D7761">
        <w:rPr>
          <w:sz w:val="22"/>
          <w:szCs w:val="22"/>
        </w:rPr>
        <w:t xml:space="preserve">El estudio implementa Máquinas de Soporte Vectorial (SVM) para clasificar el estado final del estudiante. Su núcleo metodológico radica en evaluar el impacto de 9 técnicas diferentes de preprocesamiento y normalización de datos (como </w:t>
      </w:r>
      <w:r w:rsidRPr="001D7761">
        <w:rPr>
          <w:i/>
          <w:iCs/>
          <w:sz w:val="22"/>
          <w:szCs w:val="22"/>
        </w:rPr>
        <w:t>Standard Scaler</w:t>
      </w:r>
      <w:r w:rsidRPr="001D7761">
        <w:rPr>
          <w:sz w:val="22"/>
          <w:szCs w:val="22"/>
        </w:rPr>
        <w:t xml:space="preserve">, </w:t>
      </w:r>
      <w:r w:rsidRPr="001D7761">
        <w:rPr>
          <w:i/>
          <w:iCs/>
          <w:sz w:val="22"/>
          <w:szCs w:val="22"/>
        </w:rPr>
        <w:t>Min Max Scaler</w:t>
      </w:r>
      <w:r w:rsidRPr="001D7761">
        <w:rPr>
          <w:sz w:val="22"/>
          <w:szCs w:val="22"/>
        </w:rPr>
        <w:t xml:space="preserve">, </w:t>
      </w:r>
      <w:r w:rsidRPr="001D7761">
        <w:rPr>
          <w:i/>
          <w:iCs/>
          <w:sz w:val="22"/>
          <w:szCs w:val="22"/>
        </w:rPr>
        <w:t xml:space="preserve">One Hot </w:t>
      </w:r>
      <w:proofErr w:type="spellStart"/>
      <w:r w:rsidRPr="001D7761">
        <w:rPr>
          <w:i/>
          <w:iCs/>
          <w:sz w:val="22"/>
          <w:szCs w:val="22"/>
        </w:rPr>
        <w:t>Encoder</w:t>
      </w:r>
      <w:proofErr w:type="spellEnd"/>
      <w:r w:rsidRPr="001D7761">
        <w:rPr>
          <w:sz w:val="22"/>
          <w:szCs w:val="22"/>
        </w:rPr>
        <w:t xml:space="preserve">, </w:t>
      </w:r>
      <w:proofErr w:type="spellStart"/>
      <w:r w:rsidRPr="001D7761">
        <w:rPr>
          <w:i/>
          <w:iCs/>
          <w:sz w:val="22"/>
          <w:szCs w:val="22"/>
        </w:rPr>
        <w:t>Quantile</w:t>
      </w:r>
      <w:proofErr w:type="spellEnd"/>
      <w:r w:rsidRPr="001D7761">
        <w:rPr>
          <w:i/>
          <w:iCs/>
          <w:sz w:val="22"/>
          <w:szCs w:val="22"/>
        </w:rPr>
        <w:t xml:space="preserve"> </w:t>
      </w:r>
      <w:proofErr w:type="spellStart"/>
      <w:r w:rsidRPr="001D7761">
        <w:rPr>
          <w:i/>
          <w:iCs/>
          <w:sz w:val="22"/>
          <w:szCs w:val="22"/>
        </w:rPr>
        <w:t>Transformer</w:t>
      </w:r>
      <w:proofErr w:type="spellEnd"/>
      <w:r w:rsidRPr="001D7761">
        <w:rPr>
          <w:sz w:val="22"/>
          <w:szCs w:val="22"/>
        </w:rPr>
        <w:t>, entre otros)</w:t>
      </w:r>
      <w:r w:rsidR="00780787">
        <w:rPr>
          <w:sz w:val="22"/>
          <w:szCs w:val="22"/>
        </w:rPr>
        <w:t xml:space="preserve"> para observar cómo se comporta el modelo al momento de clasificar a los individuos de estudio</w:t>
      </w:r>
      <w:sdt>
        <w:sdtPr>
          <w:rPr>
            <w:sz w:val="22"/>
            <w:szCs w:val="22"/>
          </w:rPr>
          <w:id w:val="477270837"/>
          <w:citation/>
        </w:sdtPr>
        <w:sdtContent>
          <w:r w:rsidR="00780787">
            <w:rPr>
              <w:sz w:val="22"/>
              <w:szCs w:val="22"/>
            </w:rPr>
            <w:fldChar w:fldCharType="begin"/>
          </w:r>
          <w:r w:rsidR="00780787">
            <w:rPr>
              <w:sz w:val="22"/>
              <w:szCs w:val="22"/>
              <w:lang w:val="es-MX"/>
            </w:rPr>
            <w:instrText xml:space="preserve">CITATION Bot24 \p 8633 \l 2058 </w:instrText>
          </w:r>
          <w:r w:rsidR="00780787">
            <w:rPr>
              <w:sz w:val="22"/>
              <w:szCs w:val="22"/>
            </w:rPr>
            <w:fldChar w:fldCharType="separate"/>
          </w:r>
          <w:r w:rsidR="00F708FC">
            <w:rPr>
              <w:noProof/>
              <w:sz w:val="22"/>
              <w:szCs w:val="22"/>
              <w:lang w:val="es-MX"/>
            </w:rPr>
            <w:t xml:space="preserve"> </w:t>
          </w:r>
          <w:r w:rsidR="00F708FC" w:rsidRPr="00F708FC">
            <w:rPr>
              <w:noProof/>
              <w:sz w:val="22"/>
              <w:szCs w:val="22"/>
              <w:lang w:val="es-MX"/>
            </w:rPr>
            <w:t>(Boteju, Tang, &amp; Scott Brown, 2024, pág. 8633)</w:t>
          </w:r>
          <w:r w:rsidR="00780787">
            <w:rPr>
              <w:sz w:val="22"/>
              <w:szCs w:val="22"/>
            </w:rPr>
            <w:fldChar w:fldCharType="end"/>
          </w:r>
        </w:sdtContent>
      </w:sdt>
      <w:r w:rsidR="00D12FC1">
        <w:rPr>
          <w:sz w:val="22"/>
          <w:szCs w:val="22"/>
        </w:rPr>
        <w:t>.</w:t>
      </w:r>
    </w:p>
    <w:p w14:paraId="63EDEBBB" w14:textId="569440D4" w:rsidR="00F20CF6" w:rsidRPr="001D7761" w:rsidRDefault="00F20CF6" w:rsidP="00F20CF6">
      <w:pPr>
        <w:rPr>
          <w:sz w:val="22"/>
          <w:szCs w:val="22"/>
        </w:rPr>
      </w:pPr>
      <w:r>
        <w:rPr>
          <w:sz w:val="22"/>
          <w:szCs w:val="22"/>
        </w:rPr>
        <w:t>Para el estudio realizado se c</w:t>
      </w:r>
      <w:r w:rsidRPr="001D7761">
        <w:rPr>
          <w:sz w:val="22"/>
          <w:szCs w:val="22"/>
        </w:rPr>
        <w:t>onfigur</w:t>
      </w:r>
      <w:r>
        <w:rPr>
          <w:sz w:val="22"/>
          <w:szCs w:val="22"/>
        </w:rPr>
        <w:t>o</w:t>
      </w:r>
      <w:r w:rsidRPr="001D7761">
        <w:rPr>
          <w:sz w:val="22"/>
          <w:szCs w:val="22"/>
        </w:rPr>
        <w:t xml:space="preserve"> una SVM con un núcleo polinómico de grado 3 y validan los resultados mediante ejecuciones iterativas de 50 ensayos para </w:t>
      </w:r>
      <w:r>
        <w:rPr>
          <w:sz w:val="22"/>
          <w:szCs w:val="22"/>
        </w:rPr>
        <w:t>disminuir el sesgo en las pruebas realizadas</w:t>
      </w:r>
      <w:r w:rsidRPr="001D7761">
        <w:rPr>
          <w:sz w:val="22"/>
          <w:szCs w:val="22"/>
        </w:rPr>
        <w:t xml:space="preserve">. </w:t>
      </w:r>
      <w:sdt>
        <w:sdtPr>
          <w:rPr>
            <w:sz w:val="22"/>
            <w:szCs w:val="22"/>
          </w:rPr>
          <w:id w:val="1199739407"/>
          <w:citation/>
        </w:sdtPr>
        <w:sdtContent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  <w:lang w:val="es-MX"/>
            </w:rPr>
            <w:instrText xml:space="preserve">CITATION Bot24 \p 8635 \l 2058 </w:instrText>
          </w:r>
          <w:r>
            <w:rPr>
              <w:sz w:val="22"/>
              <w:szCs w:val="22"/>
            </w:rPr>
            <w:fldChar w:fldCharType="separate"/>
          </w:r>
          <w:r w:rsidR="00F708FC" w:rsidRPr="00F708FC">
            <w:rPr>
              <w:noProof/>
              <w:sz w:val="22"/>
              <w:szCs w:val="22"/>
              <w:lang w:val="es-MX"/>
            </w:rPr>
            <w:t>(Boteju, Tang, &amp; Scott Brown, 2024, pág. 8635)</w:t>
          </w:r>
          <w:r>
            <w:rPr>
              <w:sz w:val="22"/>
              <w:szCs w:val="22"/>
            </w:rPr>
            <w:fldChar w:fldCharType="end"/>
          </w:r>
        </w:sdtContent>
      </w:sdt>
    </w:p>
    <w:p w14:paraId="62B63DD2" w14:textId="77777777" w:rsidR="001D7761" w:rsidRPr="001D7761" w:rsidRDefault="001D7761" w:rsidP="001D7761">
      <w:pPr>
        <w:rPr>
          <w:b/>
          <w:bCs/>
          <w:sz w:val="22"/>
          <w:szCs w:val="22"/>
        </w:rPr>
      </w:pPr>
      <w:r w:rsidRPr="001D7761">
        <w:rPr>
          <w:b/>
          <w:bCs/>
          <w:sz w:val="22"/>
          <w:szCs w:val="22"/>
        </w:rPr>
        <w:t>Supuestos principales del artículo</w:t>
      </w:r>
    </w:p>
    <w:p w14:paraId="046E9BF3" w14:textId="77777777" w:rsidR="001D7761" w:rsidRPr="001D7761" w:rsidRDefault="001D7761" w:rsidP="001D7761">
      <w:pPr>
        <w:numPr>
          <w:ilvl w:val="0"/>
          <w:numId w:val="11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Relaciones no lineales:</w:t>
      </w:r>
      <w:r w:rsidRPr="001D7761">
        <w:rPr>
          <w:sz w:val="22"/>
          <w:szCs w:val="22"/>
        </w:rPr>
        <w:t xml:space="preserve"> Los datos presentan relaciones complejas que pueden ser separadas en espacios de alta dimensión mediante el uso de funciones de </w:t>
      </w:r>
      <w:proofErr w:type="spellStart"/>
      <w:r w:rsidRPr="001D7761">
        <w:rPr>
          <w:sz w:val="22"/>
          <w:szCs w:val="22"/>
        </w:rPr>
        <w:t>kernel</w:t>
      </w:r>
      <w:proofErr w:type="spellEnd"/>
      <w:r w:rsidRPr="001D7761">
        <w:rPr>
          <w:sz w:val="22"/>
          <w:szCs w:val="22"/>
        </w:rPr>
        <w:t xml:space="preserve"> (truco del </w:t>
      </w:r>
      <w:proofErr w:type="spellStart"/>
      <w:r w:rsidRPr="001D7761">
        <w:rPr>
          <w:sz w:val="22"/>
          <w:szCs w:val="22"/>
        </w:rPr>
        <w:t>kernel</w:t>
      </w:r>
      <w:proofErr w:type="spellEnd"/>
      <w:r w:rsidRPr="001D7761">
        <w:rPr>
          <w:sz w:val="22"/>
          <w:szCs w:val="22"/>
        </w:rPr>
        <w:t xml:space="preserve">). </w:t>
      </w:r>
    </w:p>
    <w:p w14:paraId="22617A04" w14:textId="77777777" w:rsidR="001D7761" w:rsidRPr="001D7761" w:rsidRDefault="001D7761" w:rsidP="001D7761">
      <w:pPr>
        <w:numPr>
          <w:ilvl w:val="0"/>
          <w:numId w:val="11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lastRenderedPageBreak/>
        <w:t>Sensibilidad al escalado:</w:t>
      </w:r>
      <w:r w:rsidRPr="001D7761">
        <w:rPr>
          <w:sz w:val="22"/>
          <w:szCs w:val="22"/>
        </w:rPr>
        <w:t xml:space="preserve"> La escala y la transformación de las características de entrada alteran de forma directa la posición de los hiperplanos de separación y los vectores de soporte, afectando la generalización del modelo. </w:t>
      </w:r>
    </w:p>
    <w:p w14:paraId="1092C2E6" w14:textId="77777777" w:rsidR="001D7761" w:rsidRPr="001D7761" w:rsidRDefault="001D7761" w:rsidP="001D7761">
      <w:pPr>
        <w:numPr>
          <w:ilvl w:val="0"/>
          <w:numId w:val="11"/>
        </w:numPr>
        <w:rPr>
          <w:sz w:val="22"/>
          <w:szCs w:val="22"/>
        </w:rPr>
      </w:pPr>
      <w:proofErr w:type="spellStart"/>
      <w:r w:rsidRPr="001D7761">
        <w:rPr>
          <w:b/>
          <w:bCs/>
          <w:sz w:val="22"/>
          <w:szCs w:val="22"/>
        </w:rPr>
        <w:t>Multifactorialidad</w:t>
      </w:r>
      <w:proofErr w:type="spellEnd"/>
      <w:r w:rsidRPr="001D7761">
        <w:rPr>
          <w:b/>
          <w:bCs/>
          <w:sz w:val="22"/>
          <w:szCs w:val="22"/>
        </w:rPr>
        <w:t>:</w:t>
      </w:r>
      <w:r w:rsidRPr="001D7761">
        <w:rPr>
          <w:sz w:val="22"/>
          <w:szCs w:val="22"/>
        </w:rPr>
        <w:t xml:space="preserve"> Las variables socioeconómicas, demográficas y académicas capturan las señales latentes de riesgo de abandono escolar. </w:t>
      </w:r>
    </w:p>
    <w:p w14:paraId="694BA40E" w14:textId="77777777" w:rsidR="001D7761" w:rsidRPr="001D7761" w:rsidRDefault="001D7761" w:rsidP="001D7761">
      <w:pPr>
        <w:rPr>
          <w:b/>
          <w:bCs/>
          <w:sz w:val="22"/>
          <w:szCs w:val="22"/>
        </w:rPr>
      </w:pPr>
      <w:r w:rsidRPr="001D7761">
        <w:rPr>
          <w:b/>
          <w:bCs/>
          <w:sz w:val="22"/>
          <w:szCs w:val="22"/>
        </w:rPr>
        <w:t>Resultados reportados y limitaciones</w:t>
      </w:r>
    </w:p>
    <w:p w14:paraId="15E19743" w14:textId="77777777" w:rsidR="001D7761" w:rsidRPr="001D7761" w:rsidRDefault="001D7761" w:rsidP="001D7761">
      <w:pPr>
        <w:numPr>
          <w:ilvl w:val="0"/>
          <w:numId w:val="12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Resultados:</w:t>
      </w:r>
      <w:r w:rsidRPr="001D7761">
        <w:rPr>
          <w:sz w:val="22"/>
          <w:szCs w:val="22"/>
        </w:rPr>
        <w:t xml:space="preserve"> Se demostró que el preprocesamiento es crítico; el uso de </w:t>
      </w:r>
      <w:r w:rsidRPr="001D7761">
        <w:rPr>
          <w:i/>
          <w:iCs/>
          <w:sz w:val="22"/>
          <w:szCs w:val="22"/>
        </w:rPr>
        <w:t xml:space="preserve">One Hot </w:t>
      </w:r>
      <w:proofErr w:type="spellStart"/>
      <w:r w:rsidRPr="001D7761">
        <w:rPr>
          <w:i/>
          <w:iCs/>
          <w:sz w:val="22"/>
          <w:szCs w:val="22"/>
        </w:rPr>
        <w:t>Encoder</w:t>
      </w:r>
      <w:proofErr w:type="spellEnd"/>
      <w:r w:rsidRPr="001D7761">
        <w:rPr>
          <w:sz w:val="22"/>
          <w:szCs w:val="22"/>
        </w:rPr>
        <w:t xml:space="preserve"> obtuvo el mejor desempeño promedio con un puntaje F1 de 0.778, superando ampliamente a los modelos sin normalización (que promediaban 0.50). </w:t>
      </w:r>
    </w:p>
    <w:p w14:paraId="0A74A794" w14:textId="77777777" w:rsidR="001D7761" w:rsidRPr="001D7761" w:rsidRDefault="001D7761" w:rsidP="001D7761">
      <w:pPr>
        <w:numPr>
          <w:ilvl w:val="0"/>
          <w:numId w:val="12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Limitaciones:</w:t>
      </w:r>
      <w:r w:rsidRPr="001D7761">
        <w:rPr>
          <w:sz w:val="22"/>
          <w:szCs w:val="22"/>
        </w:rPr>
        <w:t xml:space="preserve"> El estudio se limita a un dataset específico de la UC Irvine de 4,424 registros y explora un conjunto cerrado de transformaciones, dejando abierta la discusión sobre cómo se comportan estas técnicas frente a clases altamente desbalanceadas en contextos institucionales específicos de América Latina. </w:t>
      </w:r>
    </w:p>
    <w:p w14:paraId="384DA21F" w14:textId="77777777" w:rsidR="001D7761" w:rsidRPr="001D7761" w:rsidRDefault="001D7761" w:rsidP="001D7761">
      <w:pPr>
        <w:rPr>
          <w:b/>
          <w:bCs/>
          <w:sz w:val="28"/>
          <w:szCs w:val="28"/>
        </w:rPr>
      </w:pPr>
      <w:r w:rsidRPr="001D7761">
        <w:rPr>
          <w:b/>
          <w:bCs/>
          <w:sz w:val="28"/>
          <w:szCs w:val="28"/>
        </w:rPr>
        <w:t>3. Planteamiento del Problema en un Contexto Local</w:t>
      </w:r>
    </w:p>
    <w:p w14:paraId="1551526F" w14:textId="77777777" w:rsidR="001D7761" w:rsidRPr="001D7761" w:rsidRDefault="001D7761" w:rsidP="001D7761">
      <w:pPr>
        <w:rPr>
          <w:b/>
          <w:bCs/>
          <w:sz w:val="22"/>
          <w:szCs w:val="22"/>
        </w:rPr>
      </w:pPr>
      <w:r w:rsidRPr="001D7761">
        <w:rPr>
          <w:b/>
          <w:bCs/>
          <w:sz w:val="22"/>
          <w:szCs w:val="22"/>
        </w:rPr>
        <w:t>Pregunta de investigación</w:t>
      </w:r>
    </w:p>
    <w:p w14:paraId="6BD437A0" w14:textId="625F14CE" w:rsidR="001D7761" w:rsidRPr="001D7761" w:rsidRDefault="001D7761" w:rsidP="001D7761">
      <w:pPr>
        <w:rPr>
          <w:sz w:val="22"/>
          <w:szCs w:val="22"/>
        </w:rPr>
      </w:pPr>
      <w:r w:rsidRPr="001D7761">
        <w:rPr>
          <w:i/>
          <w:iCs/>
          <w:sz w:val="22"/>
          <w:szCs w:val="22"/>
        </w:rPr>
        <w:t>¿Es posible predecir de manera temprana el riesgo de deserción académica en estudiantes universitarios de pregrado en Colombia basado en SVM, optimizando el rendimiento predictivo a través de técnicas avanzadas de normalización de datos?</w:t>
      </w:r>
    </w:p>
    <w:p w14:paraId="4E1E3C3E" w14:textId="77777777" w:rsidR="00315EC9" w:rsidRPr="00315EC9" w:rsidRDefault="00315EC9" w:rsidP="00315EC9">
      <w:pPr>
        <w:rPr>
          <w:b/>
          <w:bCs/>
          <w:sz w:val="22"/>
          <w:szCs w:val="22"/>
        </w:rPr>
      </w:pPr>
      <w:r w:rsidRPr="00315EC9">
        <w:rPr>
          <w:b/>
          <w:bCs/>
          <w:sz w:val="22"/>
          <w:szCs w:val="22"/>
        </w:rPr>
        <w:t>Variable objetivo</w:t>
      </w:r>
    </w:p>
    <w:p w14:paraId="78F9EEF0" w14:textId="77777777" w:rsidR="00315EC9" w:rsidRPr="00315EC9" w:rsidRDefault="00315EC9" w:rsidP="00315EC9">
      <w:pPr>
        <w:rPr>
          <w:sz w:val="22"/>
          <w:szCs w:val="22"/>
        </w:rPr>
      </w:pPr>
      <w:r w:rsidRPr="00315EC9">
        <w:rPr>
          <w:sz w:val="22"/>
          <w:szCs w:val="22"/>
        </w:rPr>
        <w:t>La variable objetivo es el estado académico final del estudiante al término de su cohorte o periodo de seguimiento, categorizada en tres clases discretas:</w:t>
      </w:r>
    </w:p>
    <w:p w14:paraId="275053EB" w14:textId="77777777" w:rsidR="00315EC9" w:rsidRPr="00315EC9" w:rsidRDefault="00315EC9" w:rsidP="00315EC9">
      <w:pPr>
        <w:numPr>
          <w:ilvl w:val="0"/>
          <w:numId w:val="18"/>
        </w:numPr>
        <w:rPr>
          <w:sz w:val="22"/>
          <w:szCs w:val="22"/>
        </w:rPr>
      </w:pPr>
      <w:r w:rsidRPr="00315EC9">
        <w:rPr>
          <w:sz w:val="22"/>
          <w:szCs w:val="22"/>
        </w:rPr>
        <w:t>Graduado: Estudiante que culmina su plan de estudios exitosamente.</w:t>
      </w:r>
    </w:p>
    <w:p w14:paraId="4FB0130C" w14:textId="77777777" w:rsidR="00315EC9" w:rsidRPr="00315EC9" w:rsidRDefault="00315EC9" w:rsidP="00315EC9">
      <w:pPr>
        <w:numPr>
          <w:ilvl w:val="0"/>
          <w:numId w:val="18"/>
        </w:numPr>
        <w:rPr>
          <w:sz w:val="22"/>
          <w:szCs w:val="22"/>
        </w:rPr>
      </w:pPr>
      <w:r w:rsidRPr="00315EC9">
        <w:rPr>
          <w:sz w:val="22"/>
          <w:szCs w:val="22"/>
        </w:rPr>
        <w:t>En curso: Estudiante activo que continúa su proceso formative.</w:t>
      </w:r>
    </w:p>
    <w:p w14:paraId="30D78170" w14:textId="77777777" w:rsidR="00315EC9" w:rsidRPr="00315EC9" w:rsidRDefault="00315EC9" w:rsidP="00315EC9">
      <w:pPr>
        <w:numPr>
          <w:ilvl w:val="0"/>
          <w:numId w:val="18"/>
        </w:numPr>
        <w:rPr>
          <w:sz w:val="22"/>
          <w:szCs w:val="22"/>
        </w:rPr>
      </w:pPr>
      <w:r w:rsidRPr="00315EC9">
        <w:rPr>
          <w:sz w:val="22"/>
          <w:szCs w:val="22"/>
        </w:rPr>
        <w:t>Desertor: Estudiante que abandona formal o informalmente el programa.</w:t>
      </w:r>
    </w:p>
    <w:p w14:paraId="568D6381" w14:textId="77777777" w:rsidR="00315EC9" w:rsidRPr="00315EC9" w:rsidRDefault="00315EC9" w:rsidP="00315EC9">
      <w:pPr>
        <w:rPr>
          <w:sz w:val="22"/>
          <w:szCs w:val="22"/>
        </w:rPr>
      </w:pPr>
      <w:r w:rsidRPr="00315EC9">
        <w:rPr>
          <w:sz w:val="22"/>
          <w:szCs w:val="22"/>
        </w:rPr>
        <w:t>Para mayor precisión analítica, se adoptan las definiciones institucionales de abandono:</w:t>
      </w:r>
    </w:p>
    <w:p w14:paraId="092F2016" w14:textId="77777777" w:rsidR="00315EC9" w:rsidRPr="00315EC9" w:rsidRDefault="00315EC9" w:rsidP="00315EC9">
      <w:pPr>
        <w:numPr>
          <w:ilvl w:val="0"/>
          <w:numId w:val="19"/>
        </w:numPr>
        <w:rPr>
          <w:sz w:val="22"/>
          <w:szCs w:val="22"/>
        </w:rPr>
      </w:pPr>
      <w:r w:rsidRPr="00315EC9">
        <w:rPr>
          <w:sz w:val="22"/>
          <w:szCs w:val="22"/>
        </w:rPr>
        <w:t>Abandono formal: Ocurre cuando el estudiante realiza un trámite administrativo e institucional de retiro oficial. Esto incluye la cancelación explícita de la matrícula, la solicitud de retiro definitivo del programa o la anulación de su cupo ante la oficina de admisiones o secretaría académica de la universidad. En este caso, la institución tiene constancia administrativa inmediata de su salida.</w:t>
      </w:r>
    </w:p>
    <w:p w14:paraId="6FEEA5C2" w14:textId="77777777" w:rsidR="00315EC9" w:rsidRPr="00315EC9" w:rsidRDefault="00315EC9" w:rsidP="00315EC9">
      <w:pPr>
        <w:numPr>
          <w:ilvl w:val="0"/>
          <w:numId w:val="19"/>
        </w:numPr>
        <w:rPr>
          <w:sz w:val="22"/>
          <w:szCs w:val="22"/>
        </w:rPr>
      </w:pPr>
      <w:r w:rsidRPr="00315EC9">
        <w:rPr>
          <w:sz w:val="22"/>
          <w:szCs w:val="22"/>
        </w:rPr>
        <w:t xml:space="preserve">Abandono informal (Deserción silenciosa): Ocurre cuando el estudiante simplemente deja de asistir a clases, abandona las actividades académicas, deja de presentar evaluaciones y no renueva su matrícula para el periodo siguiente, sin notificar </w:t>
      </w:r>
      <w:r w:rsidRPr="00315EC9">
        <w:rPr>
          <w:sz w:val="22"/>
          <w:szCs w:val="22"/>
        </w:rPr>
        <w:lastRenderedPageBreak/>
        <w:t>oficialmente a la universidad ni realizar ningún trámite de retiro. Este tipo de abandono suele detectarse de manera tardía por parte de la institución a través de la inasistencia prolongada o la inactividad en los sistemas de gestión de aprendizaje.</w:t>
      </w:r>
    </w:p>
    <w:p w14:paraId="315A0567" w14:textId="77777777" w:rsidR="00315EC9" w:rsidRPr="00315EC9" w:rsidRDefault="00315EC9" w:rsidP="00315EC9">
      <w:pPr>
        <w:rPr>
          <w:sz w:val="22"/>
          <w:szCs w:val="22"/>
        </w:rPr>
      </w:pPr>
      <w:r w:rsidRPr="00315EC9">
        <w:rPr>
          <w:sz w:val="22"/>
          <w:szCs w:val="22"/>
        </w:rPr>
        <w:t>En el contexto colombiano, la deserción en educación superior afecta la movilidad social y la eficiencia del sistema educativo. Contar con un modelo predictivo integrado en las instituciones permite a las directivas y a los centros de bienestar universitario activar rutas de intervención temprana (como tutorías, apoyo financiero o asesoría psicológica) antes de que el estudiante abandone definitivamente sus estudios.</w:t>
      </w:r>
    </w:p>
    <w:p w14:paraId="658E190E" w14:textId="77777777" w:rsidR="00315EC9" w:rsidRPr="00315EC9" w:rsidRDefault="00315EC9" w:rsidP="00315EC9">
      <w:pPr>
        <w:rPr>
          <w:sz w:val="22"/>
          <w:szCs w:val="22"/>
        </w:rPr>
      </w:pPr>
      <w:r w:rsidRPr="00315EC9">
        <w:rPr>
          <w:sz w:val="22"/>
          <w:szCs w:val="22"/>
        </w:rPr>
        <w:t xml:space="preserve">Se reproducirá y adaptará la metodología central del artículo de </w:t>
      </w:r>
      <w:proofErr w:type="spellStart"/>
      <w:r w:rsidRPr="00315EC9">
        <w:rPr>
          <w:sz w:val="22"/>
          <w:szCs w:val="22"/>
        </w:rPr>
        <w:t>Boteju</w:t>
      </w:r>
      <w:proofErr w:type="spellEnd"/>
      <w:r w:rsidRPr="00315EC9">
        <w:rPr>
          <w:sz w:val="22"/>
          <w:szCs w:val="22"/>
        </w:rPr>
        <w:t xml:space="preserve"> et al. (2024), consistente en la aplicación sistemática de SVM evaluando múltiples esquemas de normalización. Sin embargo, se adaptará incorporando un flujo riguroso propio de </w:t>
      </w:r>
      <w:r w:rsidRPr="00315EC9">
        <w:rPr>
          <w:i/>
          <w:iCs/>
          <w:sz w:val="22"/>
          <w:szCs w:val="22"/>
        </w:rPr>
        <w:t>Machine Learning II</w:t>
      </w:r>
      <w:r w:rsidRPr="00315EC9">
        <w:rPr>
          <w:sz w:val="22"/>
          <w:szCs w:val="22"/>
        </w:rPr>
        <w:t xml:space="preserve">: validación cruzada anidada, análisis detallado de curvas de decisión y métricas ajustadas al desbalance de clases típico del fenómeno de deserción en el sistema universitario nacional. </w:t>
      </w:r>
    </w:p>
    <w:p w14:paraId="5497B0B6" w14:textId="77777777" w:rsidR="001D7761" w:rsidRPr="001D7761" w:rsidRDefault="001D7761" w:rsidP="001D7761">
      <w:pPr>
        <w:rPr>
          <w:b/>
          <w:bCs/>
          <w:sz w:val="28"/>
          <w:szCs w:val="28"/>
        </w:rPr>
      </w:pPr>
      <w:r w:rsidRPr="001D7761">
        <w:rPr>
          <w:b/>
          <w:bCs/>
          <w:sz w:val="28"/>
          <w:szCs w:val="28"/>
        </w:rPr>
        <w:t>4. Estrategia de Datos (Fundamentación SPADIES 3.0)</w:t>
      </w:r>
    </w:p>
    <w:p w14:paraId="5A631D71" w14:textId="77777777" w:rsidR="001D7761" w:rsidRPr="001D7761" w:rsidRDefault="001D7761" w:rsidP="001D7761">
      <w:pPr>
        <w:rPr>
          <w:sz w:val="22"/>
          <w:szCs w:val="22"/>
        </w:rPr>
      </w:pPr>
      <w:r w:rsidRPr="001D7761">
        <w:rPr>
          <w:sz w:val="22"/>
          <w:szCs w:val="22"/>
        </w:rPr>
        <w:t xml:space="preserve">Para cumplir con el requerimiento metodológico de contar con un volumen robusto (mínimo 5,000 registros) y garantizar la reproducibilidad, se adoptará la vía de Simulación Fundamentada, adoptando el marco conceptual y metodológico del Sistema para la Prevención y Análisis de la Deserción en las Instituciones de Educación Superior (SPADIES 3.0) del Ministerio de Educación Nacional de Colombia. </w:t>
      </w:r>
    </w:p>
    <w:p w14:paraId="276D6466" w14:textId="77777777" w:rsidR="001D7761" w:rsidRPr="001D7761" w:rsidRDefault="001D7761" w:rsidP="001D7761">
      <w:pPr>
        <w:rPr>
          <w:b/>
          <w:bCs/>
          <w:sz w:val="22"/>
          <w:szCs w:val="22"/>
        </w:rPr>
      </w:pPr>
      <w:r w:rsidRPr="001D7761">
        <w:rPr>
          <w:b/>
          <w:bCs/>
          <w:sz w:val="22"/>
          <w:szCs w:val="22"/>
        </w:rPr>
        <w:t>Justificación y estructura de la simulación</w:t>
      </w:r>
    </w:p>
    <w:p w14:paraId="2AB1698F" w14:textId="77777777" w:rsidR="001D7761" w:rsidRPr="001D7761" w:rsidRDefault="001D7761" w:rsidP="001D7761">
      <w:pPr>
        <w:rPr>
          <w:sz w:val="22"/>
          <w:szCs w:val="22"/>
        </w:rPr>
      </w:pPr>
      <w:r w:rsidRPr="001D7761">
        <w:rPr>
          <w:sz w:val="22"/>
          <w:szCs w:val="22"/>
        </w:rPr>
        <w:t xml:space="preserve">La estructura generadora replicará el enfoque de "historia de vida" promovido por el SPADIES 3.0, simulando transiciones semestre a semestre bajo distribuciones y dependencias empíricas observadas en el sistema educativo nacional. </w:t>
      </w:r>
    </w:p>
    <w:p w14:paraId="732B57E1" w14:textId="77777777" w:rsidR="001D7761" w:rsidRPr="001D7761" w:rsidRDefault="001D7761" w:rsidP="001D7761">
      <w:pPr>
        <w:rPr>
          <w:sz w:val="22"/>
          <w:szCs w:val="22"/>
        </w:rPr>
      </w:pPr>
      <w:r w:rsidRPr="001D7761">
        <w:rPr>
          <w:sz w:val="22"/>
          <w:szCs w:val="22"/>
        </w:rPr>
        <w:t xml:space="preserve">Para garantizar un realismo estricto, la generación de los datos se basará en las variables de caracterización oficiales extraídas del módulo de consulta básica del SPADIES 3.0: </w:t>
      </w:r>
    </w:p>
    <w:p w14:paraId="60D75723" w14:textId="77777777" w:rsidR="001D7761" w:rsidRPr="001D7761" w:rsidRDefault="001D7761" w:rsidP="001D7761">
      <w:pPr>
        <w:numPr>
          <w:ilvl w:val="0"/>
          <w:numId w:val="15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Edad al presentar el ICFES:</w:t>
      </w:r>
      <w:r w:rsidRPr="001D7761">
        <w:rPr>
          <w:sz w:val="22"/>
          <w:szCs w:val="22"/>
        </w:rPr>
        <w:t xml:space="preserve"> Variable demográfica que modela la edad de ingreso del estudiante al sistema de educación superior. </w:t>
      </w:r>
    </w:p>
    <w:p w14:paraId="0D59A2D9" w14:textId="77777777" w:rsidR="001D7761" w:rsidRPr="001D7761" w:rsidRDefault="001D7761" w:rsidP="001D7761">
      <w:pPr>
        <w:numPr>
          <w:ilvl w:val="0"/>
          <w:numId w:val="15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Apoyos y tipo de crédito del ICETEX:</w:t>
      </w:r>
      <w:r w:rsidRPr="001D7761">
        <w:rPr>
          <w:sz w:val="22"/>
          <w:szCs w:val="22"/>
        </w:rPr>
        <w:t xml:space="preserve"> Indicadores y categorías que determinan si el estudiante cuenta con financiación externa (crédito de corto o largo plazo, o subsidios). </w:t>
      </w:r>
    </w:p>
    <w:p w14:paraId="42C9178E" w14:textId="77777777" w:rsidR="001D7761" w:rsidRPr="001D7761" w:rsidRDefault="001D7761" w:rsidP="001D7761">
      <w:pPr>
        <w:numPr>
          <w:ilvl w:val="0"/>
          <w:numId w:val="15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Situación laboral (si trabajaba al presentar el ICFES):</w:t>
      </w:r>
      <w:r w:rsidRPr="001D7761">
        <w:rPr>
          <w:sz w:val="22"/>
          <w:szCs w:val="22"/>
        </w:rPr>
        <w:t xml:space="preserve"> Condición de ocupación laboral previa o simultánea al ingreso a la educación superior. </w:t>
      </w:r>
    </w:p>
    <w:p w14:paraId="37996952" w14:textId="77777777" w:rsidR="001D7761" w:rsidRPr="001D7761" w:rsidRDefault="001D7761" w:rsidP="001D7761">
      <w:pPr>
        <w:numPr>
          <w:ilvl w:val="0"/>
          <w:numId w:val="15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Clasificación en el ICFES (Saber 11):</w:t>
      </w:r>
      <w:r w:rsidRPr="001D7761">
        <w:rPr>
          <w:sz w:val="22"/>
          <w:szCs w:val="22"/>
        </w:rPr>
        <w:t xml:space="preserve"> Nivel de desempeño y puntajes obtenidos en la prueba de Estado, reflejando las competencias académicas de base. </w:t>
      </w:r>
    </w:p>
    <w:p w14:paraId="6C633D56" w14:textId="77777777" w:rsidR="001D7761" w:rsidRPr="001D7761" w:rsidRDefault="001D7761" w:rsidP="001D7761">
      <w:pPr>
        <w:numPr>
          <w:ilvl w:val="0"/>
          <w:numId w:val="15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lastRenderedPageBreak/>
        <w:t>Rendimiento académico y dependencias causales:</w:t>
      </w:r>
      <w:r w:rsidRPr="001D7761">
        <w:rPr>
          <w:sz w:val="22"/>
          <w:szCs w:val="22"/>
        </w:rPr>
        <w:t xml:space="preserve"> Promedio ponderado acumulado (PPA) en los primeros semestres y número de créditos reprobados, modelados con distribuciones beta y gamma truncadas. Se introducirán correlaciones lógicas fundamentadas en la dinámica del SPADIES 3.0 (por ejemplo, menor puntaje de clasificación ICFES, baja familia de ingresos y alta carga laboral previa aumentan la probabilidad de caída en el PPA, incrementando exponencialmente la probabilidad de transición a la clase </w:t>
      </w:r>
      <w:r w:rsidRPr="001D7761">
        <w:rPr>
          <w:i/>
          <w:iCs/>
          <w:sz w:val="22"/>
          <w:szCs w:val="22"/>
        </w:rPr>
        <w:t>Desertor</w:t>
      </w:r>
      <w:r w:rsidRPr="001D7761">
        <w:rPr>
          <w:sz w:val="22"/>
          <w:szCs w:val="22"/>
        </w:rPr>
        <w:t xml:space="preserve"> bajo el criterio de inasistencia por dos o más periodos consecutivos). </w:t>
      </w:r>
    </w:p>
    <w:p w14:paraId="3634EE06" w14:textId="77777777" w:rsidR="001D7761" w:rsidRPr="001D7761" w:rsidRDefault="001D7761" w:rsidP="001D7761">
      <w:pPr>
        <w:rPr>
          <w:b/>
          <w:bCs/>
          <w:sz w:val="22"/>
          <w:szCs w:val="22"/>
        </w:rPr>
      </w:pPr>
      <w:r w:rsidRPr="001D7761">
        <w:rPr>
          <w:b/>
          <w:bCs/>
          <w:sz w:val="22"/>
          <w:szCs w:val="22"/>
        </w:rPr>
        <w:t>Caracterización del dataset previsto</w:t>
      </w:r>
    </w:p>
    <w:p w14:paraId="279C37AB" w14:textId="48728508" w:rsidR="001D7761" w:rsidRPr="001D7761" w:rsidRDefault="001D7761" w:rsidP="001D7761">
      <w:pPr>
        <w:numPr>
          <w:ilvl w:val="0"/>
          <w:numId w:val="16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Volumen:</w:t>
      </w:r>
      <w:r w:rsidRPr="001D7761">
        <w:rPr>
          <w:sz w:val="22"/>
          <w:szCs w:val="22"/>
        </w:rPr>
        <w:t xml:space="preserve"> </w:t>
      </w:r>
      <w:r w:rsidR="00315EC9">
        <w:rPr>
          <w:sz w:val="22"/>
          <w:szCs w:val="22"/>
        </w:rPr>
        <w:t>11500</w:t>
      </w:r>
      <w:r w:rsidRPr="001D7761">
        <w:rPr>
          <w:sz w:val="22"/>
          <w:szCs w:val="22"/>
        </w:rPr>
        <w:t xml:space="preserve"> registros de estudiantes simulados</w:t>
      </w:r>
      <w:r>
        <w:rPr>
          <w:sz w:val="22"/>
          <w:szCs w:val="22"/>
        </w:rPr>
        <w:t>.</w:t>
      </w:r>
    </w:p>
    <w:p w14:paraId="2F106CA5" w14:textId="1983C868" w:rsidR="001D7761" w:rsidRPr="001D7761" w:rsidRDefault="001D7761" w:rsidP="001D7761">
      <w:pPr>
        <w:numPr>
          <w:ilvl w:val="0"/>
          <w:numId w:val="16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Predictores:</w:t>
      </w:r>
      <w:r w:rsidRPr="001D7761">
        <w:rPr>
          <w:sz w:val="22"/>
          <w:szCs w:val="22"/>
        </w:rPr>
        <w:t xml:space="preserve"> </w:t>
      </w:r>
      <w:r w:rsidR="00315EC9">
        <w:rPr>
          <w:sz w:val="22"/>
          <w:szCs w:val="22"/>
        </w:rPr>
        <w:t>completar</w:t>
      </w:r>
    </w:p>
    <w:p w14:paraId="2424C165" w14:textId="4993BE01" w:rsidR="001D7761" w:rsidRPr="001D7761" w:rsidRDefault="001D7761" w:rsidP="001D7761">
      <w:pPr>
        <w:numPr>
          <w:ilvl w:val="0"/>
          <w:numId w:val="16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Variable objetivo:</w:t>
      </w:r>
      <w:r w:rsidRPr="001D7761">
        <w:rPr>
          <w:sz w:val="22"/>
          <w:szCs w:val="22"/>
        </w:rPr>
        <w:t xml:space="preserve"> Estado de terminación del ciclo académico (Graduado, </w:t>
      </w:r>
      <w:r w:rsidR="00315EC9">
        <w:rPr>
          <w:sz w:val="22"/>
          <w:szCs w:val="22"/>
        </w:rPr>
        <w:t>En curso</w:t>
      </w:r>
      <w:r w:rsidRPr="001D7761">
        <w:rPr>
          <w:sz w:val="22"/>
          <w:szCs w:val="22"/>
        </w:rPr>
        <w:t xml:space="preserve">, Desertor). </w:t>
      </w:r>
    </w:p>
    <w:p w14:paraId="311C1629" w14:textId="77777777" w:rsidR="001D7761" w:rsidRPr="001D7761" w:rsidRDefault="001D7761" w:rsidP="001D7761">
      <w:pPr>
        <w:rPr>
          <w:b/>
          <w:bCs/>
          <w:sz w:val="28"/>
          <w:szCs w:val="28"/>
        </w:rPr>
      </w:pPr>
      <w:r w:rsidRPr="001D7761">
        <w:rPr>
          <w:b/>
          <w:bCs/>
          <w:sz w:val="28"/>
          <w:szCs w:val="28"/>
        </w:rPr>
        <w:t>5. Plan de Modelamiento y Línea Base</w:t>
      </w:r>
    </w:p>
    <w:p w14:paraId="1D8AEDE6" w14:textId="77777777" w:rsidR="001D7761" w:rsidRPr="001D7761" w:rsidRDefault="001D7761" w:rsidP="001D7761">
      <w:pPr>
        <w:rPr>
          <w:b/>
          <w:bCs/>
          <w:sz w:val="22"/>
          <w:szCs w:val="22"/>
        </w:rPr>
      </w:pPr>
      <w:r w:rsidRPr="001D7761">
        <w:rPr>
          <w:b/>
          <w:bCs/>
          <w:sz w:val="22"/>
          <w:szCs w:val="22"/>
        </w:rPr>
        <w:t>Modelos avanzados candidatos</w:t>
      </w:r>
    </w:p>
    <w:p w14:paraId="75D56393" w14:textId="37C8C1CD" w:rsidR="001D7761" w:rsidRPr="001D7761" w:rsidRDefault="001D7761" w:rsidP="001D7761">
      <w:pPr>
        <w:rPr>
          <w:sz w:val="22"/>
          <w:szCs w:val="22"/>
        </w:rPr>
      </w:pPr>
      <w:r w:rsidRPr="001D7761">
        <w:rPr>
          <w:sz w:val="22"/>
          <w:szCs w:val="22"/>
        </w:rPr>
        <w:t xml:space="preserve">Dado el enfoque del curso y del artículo, se implementarán y compararán los siguientes modelos utilizando la librería </w:t>
      </w:r>
      <w:proofErr w:type="spellStart"/>
      <w:r w:rsidRPr="001D7761">
        <w:rPr>
          <w:sz w:val="22"/>
          <w:szCs w:val="22"/>
        </w:rPr>
        <w:t>scikit-learn</w:t>
      </w:r>
      <w:proofErr w:type="spellEnd"/>
      <w:r>
        <w:rPr>
          <w:sz w:val="22"/>
          <w:szCs w:val="22"/>
        </w:rPr>
        <w:t xml:space="preserve"> siguiendo los lineamientos dados también dentro del articulo guía</w:t>
      </w:r>
      <w:r w:rsidRPr="001D7761">
        <w:rPr>
          <w:sz w:val="22"/>
          <w:szCs w:val="22"/>
        </w:rPr>
        <w:t>:</w:t>
      </w:r>
    </w:p>
    <w:p w14:paraId="4C44ADEA" w14:textId="20ABEAFA" w:rsidR="001D7761" w:rsidRPr="00315EC9" w:rsidRDefault="001D7761" w:rsidP="001D7761">
      <w:pPr>
        <w:numPr>
          <w:ilvl w:val="0"/>
          <w:numId w:val="17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 xml:space="preserve">SVM con </w:t>
      </w:r>
      <w:proofErr w:type="spellStart"/>
      <w:r w:rsidRPr="001D7761">
        <w:rPr>
          <w:b/>
          <w:bCs/>
          <w:sz w:val="22"/>
          <w:szCs w:val="22"/>
        </w:rPr>
        <w:t>Kernel</w:t>
      </w:r>
      <w:proofErr w:type="spellEnd"/>
      <w:r w:rsidRPr="001D7761">
        <w:rPr>
          <w:b/>
          <w:bCs/>
          <w:sz w:val="22"/>
          <w:szCs w:val="22"/>
        </w:rPr>
        <w:t xml:space="preserve"> Polinómico y Lineal:</w:t>
      </w:r>
      <w:r w:rsidRPr="001D7761">
        <w:rPr>
          <w:sz w:val="22"/>
          <w:szCs w:val="22"/>
        </w:rPr>
        <w:t xml:space="preserve"> Reproduciendo el enfoque del artículo base bajo diferentes transformaciones de escalado (</w:t>
      </w:r>
      <w:proofErr w:type="spellStart"/>
      <w:r w:rsidRPr="001D7761">
        <w:rPr>
          <w:i/>
          <w:iCs/>
          <w:sz w:val="22"/>
          <w:szCs w:val="22"/>
        </w:rPr>
        <w:t>StandardScaler</w:t>
      </w:r>
      <w:proofErr w:type="spellEnd"/>
      <w:r w:rsidRPr="001D7761">
        <w:rPr>
          <w:sz w:val="22"/>
          <w:szCs w:val="22"/>
        </w:rPr>
        <w:t xml:space="preserve">, </w:t>
      </w:r>
      <w:proofErr w:type="spellStart"/>
      <w:r w:rsidRPr="001D7761">
        <w:rPr>
          <w:i/>
          <w:iCs/>
          <w:sz w:val="22"/>
          <w:szCs w:val="22"/>
        </w:rPr>
        <w:t>MinMaxScaler</w:t>
      </w:r>
      <w:proofErr w:type="spellEnd"/>
      <w:r w:rsidRPr="001D7761">
        <w:rPr>
          <w:sz w:val="22"/>
          <w:szCs w:val="22"/>
        </w:rPr>
        <w:t xml:space="preserve">, </w:t>
      </w:r>
      <w:proofErr w:type="spellStart"/>
      <w:r w:rsidRPr="001D7761">
        <w:rPr>
          <w:i/>
          <w:iCs/>
          <w:sz w:val="22"/>
          <w:szCs w:val="22"/>
        </w:rPr>
        <w:t>OneHotEncoder</w:t>
      </w:r>
      <w:proofErr w:type="spellEnd"/>
      <w:r w:rsidRPr="001D7761">
        <w:rPr>
          <w:sz w:val="22"/>
          <w:szCs w:val="22"/>
        </w:rPr>
        <w:t xml:space="preserve">, </w:t>
      </w:r>
      <w:proofErr w:type="spellStart"/>
      <w:r w:rsidRPr="001D7761">
        <w:rPr>
          <w:i/>
          <w:iCs/>
          <w:sz w:val="22"/>
          <w:szCs w:val="22"/>
        </w:rPr>
        <w:t>QuantileTransformer</w:t>
      </w:r>
      <w:proofErr w:type="spellEnd"/>
      <w:r w:rsidRPr="001D7761">
        <w:rPr>
          <w:sz w:val="22"/>
          <w:szCs w:val="22"/>
        </w:rPr>
        <w:t xml:space="preserve">). </w:t>
      </w:r>
    </w:p>
    <w:p w14:paraId="1F9894FE" w14:textId="77777777" w:rsidR="001D7761" w:rsidRPr="001D7761" w:rsidRDefault="001D7761" w:rsidP="001D7761">
      <w:pPr>
        <w:rPr>
          <w:b/>
          <w:bCs/>
          <w:sz w:val="22"/>
          <w:szCs w:val="22"/>
        </w:rPr>
      </w:pPr>
      <w:r w:rsidRPr="001D7761">
        <w:rPr>
          <w:b/>
          <w:bCs/>
          <w:sz w:val="22"/>
          <w:szCs w:val="22"/>
        </w:rPr>
        <w:t>Métrica de evaluación</w:t>
      </w:r>
    </w:p>
    <w:p w14:paraId="3B98A978" w14:textId="77777777" w:rsidR="001D7761" w:rsidRPr="001D7761" w:rsidRDefault="001D7761" w:rsidP="001D7761">
      <w:pPr>
        <w:rPr>
          <w:sz w:val="22"/>
          <w:szCs w:val="22"/>
        </w:rPr>
      </w:pPr>
      <w:r w:rsidRPr="001D7761">
        <w:rPr>
          <w:sz w:val="22"/>
          <w:szCs w:val="22"/>
        </w:rPr>
        <w:t>La métrica principal seleccionada será el F1-Score Ponderado (</w:t>
      </w:r>
      <w:proofErr w:type="spellStart"/>
      <w:r w:rsidRPr="001D7761">
        <w:rPr>
          <w:sz w:val="22"/>
          <w:szCs w:val="22"/>
        </w:rPr>
        <w:t>Weighted</w:t>
      </w:r>
      <w:proofErr w:type="spellEnd"/>
      <w:r w:rsidRPr="001D7761">
        <w:rPr>
          <w:sz w:val="22"/>
          <w:szCs w:val="22"/>
        </w:rPr>
        <w:t xml:space="preserve"> F1-Score) y el F1-Score por clase (enfocado en la clase minoritaria "Desertor"). Se justifica esta elección debido a que la deserción suele representar una proporción menor en los datos en comparación con los estudiantes que continúan o se gradúan; optimizar únicamente el </w:t>
      </w:r>
      <w:proofErr w:type="spellStart"/>
      <w:r w:rsidRPr="001D7761">
        <w:rPr>
          <w:i/>
          <w:iCs/>
          <w:sz w:val="22"/>
          <w:szCs w:val="22"/>
        </w:rPr>
        <w:t>Accuracy</w:t>
      </w:r>
      <w:proofErr w:type="spellEnd"/>
      <w:r w:rsidRPr="001D7761">
        <w:rPr>
          <w:sz w:val="22"/>
          <w:szCs w:val="22"/>
        </w:rPr>
        <w:t xml:space="preserve"> (exactitud) generaría una ilusión de buen rendimiento ignorando los falsos negativos (estudiantes en riesgo no detectados).</w:t>
      </w:r>
    </w:p>
    <w:p w14:paraId="599ADD98" w14:textId="27E49670" w:rsidR="001D7761" w:rsidRPr="001D7761" w:rsidRDefault="001D7761" w:rsidP="001D7761">
      <w:pPr>
        <w:rPr>
          <w:b/>
          <w:bCs/>
          <w:sz w:val="22"/>
          <w:szCs w:val="22"/>
        </w:rPr>
      </w:pPr>
      <w:r w:rsidRPr="001D7761">
        <w:rPr>
          <w:b/>
          <w:bCs/>
          <w:sz w:val="22"/>
          <w:szCs w:val="22"/>
        </w:rPr>
        <w:t>Línea base (</w:t>
      </w:r>
      <w:proofErr w:type="spellStart"/>
      <w:r w:rsidRPr="001D7761">
        <w:rPr>
          <w:b/>
          <w:bCs/>
          <w:sz w:val="22"/>
          <w:szCs w:val="22"/>
        </w:rPr>
        <w:t>Baseline</w:t>
      </w:r>
      <w:proofErr w:type="spellEnd"/>
      <w:r w:rsidRPr="001D7761">
        <w:rPr>
          <w:b/>
          <w:bCs/>
          <w:sz w:val="22"/>
          <w:szCs w:val="22"/>
        </w:rPr>
        <w:t>)</w:t>
      </w:r>
    </w:p>
    <w:p w14:paraId="3D7F3BE8" w14:textId="4E7F2D1B" w:rsidR="00483FAF" w:rsidRDefault="001D7761">
      <w:pPr>
        <w:rPr>
          <w:sz w:val="22"/>
          <w:szCs w:val="22"/>
        </w:rPr>
      </w:pPr>
      <w:r w:rsidRPr="001D7761">
        <w:rPr>
          <w:sz w:val="22"/>
          <w:szCs w:val="22"/>
        </w:rPr>
        <w:t xml:space="preserve">Como referencia mínima de comparación se construirá un modelo de línea base sencillo (un clasificador de regla de mayoría o una Regresión Logística básica con preprocesamiento estándar sin optimización de </w:t>
      </w:r>
      <w:proofErr w:type="spellStart"/>
      <w:r w:rsidRPr="001D7761">
        <w:rPr>
          <w:sz w:val="22"/>
          <w:szCs w:val="22"/>
        </w:rPr>
        <w:t>hiperparámetros</w:t>
      </w:r>
      <w:proofErr w:type="spellEnd"/>
      <w:r w:rsidRPr="001D7761">
        <w:rPr>
          <w:sz w:val="22"/>
          <w:szCs w:val="22"/>
        </w:rPr>
        <w:t>). Cualquier modelo avanzado seleccionado deberá superar de manera estadísticamente significativa el desempeño de esta línea base.</w:t>
      </w:r>
    </w:p>
    <w:p w14:paraId="3715CE8F" w14:textId="77777777" w:rsidR="004C72CA" w:rsidRDefault="004C72CA">
      <w:pPr>
        <w:rPr>
          <w:sz w:val="22"/>
          <w:szCs w:val="22"/>
        </w:rPr>
      </w:pPr>
    </w:p>
    <w:p w14:paraId="167D95A8" w14:textId="77777777" w:rsidR="004C72CA" w:rsidRDefault="004C72CA">
      <w:pPr>
        <w:rPr>
          <w:sz w:val="22"/>
          <w:szCs w:val="22"/>
        </w:rPr>
      </w:pPr>
    </w:p>
    <w:sdt>
      <w:sdtPr>
        <w:rPr>
          <w:lang w:val="es-ES"/>
        </w:rPr>
        <w:id w:val="926232773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  <w:lang w:val="es-CO"/>
        </w:rPr>
      </w:sdtEndPr>
      <w:sdtContent>
        <w:p w14:paraId="6F7D2B2C" w14:textId="2FF9C22B" w:rsidR="004C72CA" w:rsidRPr="004C72CA" w:rsidRDefault="004C72CA">
          <w:pPr>
            <w:pStyle w:val="Ttulo1"/>
            <w:rPr>
              <w:lang w:val="en-US"/>
            </w:rPr>
          </w:pPr>
          <w:proofErr w:type="spellStart"/>
          <w:r w:rsidRPr="004C72CA">
            <w:rPr>
              <w:lang w:val="en-US"/>
            </w:rPr>
            <w:t>Bibliografía</w:t>
          </w:r>
          <w:proofErr w:type="spellEnd"/>
        </w:p>
        <w:sdt>
          <w:sdtPr>
            <w:id w:val="111145805"/>
            <w:bibliography/>
          </w:sdtPr>
          <w:sdtContent>
            <w:p w14:paraId="4FA107BA" w14:textId="77777777" w:rsidR="00F708FC" w:rsidRDefault="004C72CA" w:rsidP="00F708FC">
              <w:pPr>
                <w:pStyle w:val="Bibliografa"/>
                <w:ind w:left="720" w:hanging="720"/>
                <w:rPr>
                  <w:noProof/>
                  <w:kern w:val="0"/>
                  <w:lang w:val="en-US"/>
                  <w14:ligatures w14:val="none"/>
                </w:rPr>
              </w:pPr>
              <w:r>
                <w:fldChar w:fldCharType="begin"/>
              </w:r>
              <w:r w:rsidRPr="004C72CA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="00F708FC">
                <w:rPr>
                  <w:noProof/>
                  <w:lang w:val="en-US"/>
                </w:rPr>
                <w:t xml:space="preserve">Boteju, G., Tang, L., &amp; Scott Brown, M. (2024). Support Vector Machine for Predicting Student Dropout Under Different Normalization Methods. </w:t>
              </w:r>
              <w:r w:rsidR="00F708FC">
                <w:rPr>
                  <w:i/>
                  <w:iCs/>
                  <w:noProof/>
                  <w:lang w:val="en-US"/>
                </w:rPr>
                <w:t>IEEE International Conference on Big Data (BigData)</w:t>
              </w:r>
              <w:r w:rsidR="00F708FC">
                <w:rPr>
                  <w:noProof/>
                  <w:lang w:val="en-US"/>
                </w:rPr>
                <w:t xml:space="preserve"> (pp. 8633-8633). Washington, DC, USA: IEEE. doi:10.1109/BigData62323.2024.10825023</w:t>
              </w:r>
            </w:p>
            <w:p w14:paraId="6FB2586A" w14:textId="77777777" w:rsidR="00F708FC" w:rsidRDefault="00F708FC" w:rsidP="00F708FC">
              <w:pPr>
                <w:pStyle w:val="Bibliografa"/>
                <w:ind w:left="720" w:hanging="720"/>
                <w:rPr>
                  <w:noProof/>
                  <w:lang w:val="en-US"/>
                </w:rPr>
              </w:pPr>
              <w:r w:rsidRPr="00F708FC">
                <w:rPr>
                  <w:noProof/>
                </w:rPr>
                <w:t xml:space="preserve">MinEducacion. (2024). </w:t>
              </w:r>
              <w:r w:rsidRPr="00F708FC">
                <w:rPr>
                  <w:i/>
                  <w:iCs/>
                  <w:noProof/>
                </w:rPr>
                <w:t>SPADIES (Sistema para la Prevención de la Deserción en las Instituciones de Educación Superior).</w:t>
              </w:r>
              <w:r w:rsidRPr="00F708FC">
                <w:rPr>
                  <w:noProof/>
                </w:rPr>
                <w:t xml:space="preserve"> </w:t>
              </w:r>
              <w:r>
                <w:rPr>
                  <w:noProof/>
                  <w:lang w:val="en-US"/>
                </w:rPr>
                <w:t>Retrieved from https://www.mineducacion.gov.co/sistemasdeinformacion/1783/articles-415244_cambio_metodologico_spadies_3.pdf</w:t>
              </w:r>
            </w:p>
            <w:p w14:paraId="27F6BF4A" w14:textId="77777777" w:rsidR="00F708FC" w:rsidRPr="00F708FC" w:rsidRDefault="00F708FC" w:rsidP="00F708FC">
              <w:pPr>
                <w:pStyle w:val="Bibliografa"/>
                <w:ind w:left="720" w:hanging="720"/>
                <w:rPr>
                  <w:noProof/>
                </w:rPr>
              </w:pPr>
              <w:r w:rsidRPr="00F708FC">
                <w:rPr>
                  <w:noProof/>
                </w:rPr>
                <w:t xml:space="preserve">Peña Pico., C., Sánchez Prieto, K., Gómez Vigoya., J., &amp; Porras Ortiz., E. (n.d.). </w:t>
              </w:r>
              <w:r w:rsidRPr="00F708FC">
                <w:rPr>
                  <w:i/>
                  <w:iCs/>
                  <w:noProof/>
                </w:rPr>
                <w:t>Sistema de Alerta Temprana de Deserción Estudiantil (SAT-DE)</w:t>
              </w:r>
              <w:r w:rsidRPr="00F708FC">
                <w:rPr>
                  <w:noProof/>
                </w:rPr>
                <w:t>. Retrieved from https://github.com/KevinSSP/MIAD---Sistema-de-Alerta-Temprana-de-Deserci-n-en-la-Educaci-n-Superior/tree/main</w:t>
              </w:r>
            </w:p>
            <w:p w14:paraId="2FEE2F2C" w14:textId="4C493818" w:rsidR="004C72CA" w:rsidRDefault="004C72CA" w:rsidP="00F708FC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21534EB0" w14:textId="668DF858" w:rsidR="004C72CA" w:rsidRPr="001D7761" w:rsidRDefault="004C72CA">
      <w:pPr>
        <w:rPr>
          <w:sz w:val="22"/>
          <w:szCs w:val="22"/>
        </w:rPr>
      </w:pPr>
    </w:p>
    <w:sectPr w:rsidR="004C72CA" w:rsidRPr="001D77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2433"/>
    <w:multiLevelType w:val="multilevel"/>
    <w:tmpl w:val="ED90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40A4"/>
    <w:multiLevelType w:val="multilevel"/>
    <w:tmpl w:val="0C7A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76579"/>
    <w:multiLevelType w:val="multilevel"/>
    <w:tmpl w:val="518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407CD"/>
    <w:multiLevelType w:val="multilevel"/>
    <w:tmpl w:val="E4E6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7303F"/>
    <w:multiLevelType w:val="multilevel"/>
    <w:tmpl w:val="308C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D3D5E"/>
    <w:multiLevelType w:val="multilevel"/>
    <w:tmpl w:val="1552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C54CF"/>
    <w:multiLevelType w:val="multilevel"/>
    <w:tmpl w:val="936A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C6D81"/>
    <w:multiLevelType w:val="multilevel"/>
    <w:tmpl w:val="760E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C4C51"/>
    <w:multiLevelType w:val="multilevel"/>
    <w:tmpl w:val="1952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D1C85"/>
    <w:multiLevelType w:val="multilevel"/>
    <w:tmpl w:val="FB6AA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6B27C5"/>
    <w:multiLevelType w:val="multilevel"/>
    <w:tmpl w:val="BE98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F7F32"/>
    <w:multiLevelType w:val="multilevel"/>
    <w:tmpl w:val="C6A66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46064B"/>
    <w:multiLevelType w:val="hybridMultilevel"/>
    <w:tmpl w:val="22D492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115822"/>
    <w:multiLevelType w:val="multilevel"/>
    <w:tmpl w:val="A2A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D415F"/>
    <w:multiLevelType w:val="multilevel"/>
    <w:tmpl w:val="51FA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F5C5C"/>
    <w:multiLevelType w:val="hybridMultilevel"/>
    <w:tmpl w:val="04D01CD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D452454"/>
    <w:multiLevelType w:val="multilevel"/>
    <w:tmpl w:val="B86C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174792">
    <w:abstractNumId w:val="3"/>
  </w:num>
  <w:num w:numId="2" w16cid:durableId="861864273">
    <w:abstractNumId w:val="5"/>
  </w:num>
  <w:num w:numId="3" w16cid:durableId="810756133">
    <w:abstractNumId w:val="8"/>
  </w:num>
  <w:num w:numId="4" w16cid:durableId="459152112">
    <w:abstractNumId w:val="9"/>
  </w:num>
  <w:num w:numId="5" w16cid:durableId="79374054">
    <w:abstractNumId w:val="2"/>
  </w:num>
  <w:num w:numId="6" w16cid:durableId="1227106902">
    <w:abstractNumId w:val="16"/>
  </w:num>
  <w:num w:numId="7" w16cid:durableId="1920557448">
    <w:abstractNumId w:val="11"/>
  </w:num>
  <w:num w:numId="8" w16cid:durableId="1114516165">
    <w:abstractNumId w:val="12"/>
  </w:num>
  <w:num w:numId="9" w16cid:durableId="1377773389">
    <w:abstractNumId w:val="15"/>
  </w:num>
  <w:num w:numId="10" w16cid:durableId="1389841927">
    <w:abstractNumId w:val="4"/>
  </w:num>
  <w:num w:numId="11" w16cid:durableId="1576233691">
    <w:abstractNumId w:val="6"/>
  </w:num>
  <w:num w:numId="12" w16cid:durableId="720517783">
    <w:abstractNumId w:val="7"/>
  </w:num>
  <w:num w:numId="13" w16cid:durableId="260647705">
    <w:abstractNumId w:val="0"/>
  </w:num>
  <w:num w:numId="14" w16cid:durableId="1867407668">
    <w:abstractNumId w:val="1"/>
  </w:num>
  <w:num w:numId="15" w16cid:durableId="1809975682">
    <w:abstractNumId w:val="10"/>
  </w:num>
  <w:num w:numId="16" w16cid:durableId="168714488">
    <w:abstractNumId w:val="14"/>
  </w:num>
  <w:num w:numId="17" w16cid:durableId="1290547885">
    <w:abstractNumId w:val="13"/>
  </w:num>
  <w:num w:numId="18" w16cid:durableId="91045876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53865732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FAF"/>
    <w:rsid w:val="001416AF"/>
    <w:rsid w:val="001C41DF"/>
    <w:rsid w:val="001D54AB"/>
    <w:rsid w:val="001D7761"/>
    <w:rsid w:val="00315EC9"/>
    <w:rsid w:val="004169CC"/>
    <w:rsid w:val="00483FAF"/>
    <w:rsid w:val="004C72CA"/>
    <w:rsid w:val="004F46BB"/>
    <w:rsid w:val="00780787"/>
    <w:rsid w:val="008D7AAE"/>
    <w:rsid w:val="00A22502"/>
    <w:rsid w:val="00D12FC1"/>
    <w:rsid w:val="00DC52F5"/>
    <w:rsid w:val="00DC75F5"/>
    <w:rsid w:val="00F20CF6"/>
    <w:rsid w:val="00F7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7626F"/>
  <w15:chartTrackingRefBased/>
  <w15:docId w15:val="{6EE7F025-66EB-4286-873F-F76DF58F0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3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3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3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3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3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3F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3F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3F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3F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3F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3F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3F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3F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3F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3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3F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3F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3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Bibliografa">
    <w:name w:val="Bibliography"/>
    <w:basedOn w:val="Normal"/>
    <w:next w:val="Normal"/>
    <w:uiPriority w:val="37"/>
    <w:unhideWhenUsed/>
    <w:rsid w:val="004C7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Bot24</b:Tag>
    <b:SourceType>ConferenceProceedings</b:SourceType>
    <b:Guid>{46982DB1-8D91-4919-9655-889386CDBE64}</b:Guid>
    <b:Title>Support Vector Machine for Predicting Student Dropout Under Different Normalization Methods</b:Title>
    <b:Year>2024</b:Year>
    <b:Pages>8633-8633</b:Pages>
    <b:ConferenceName>IEEE International Conference on Big Data (BigData)</b:ConferenceName>
    <b:City>Washington, DC, USA</b:City>
    <b:Publisher>IEEE</b:Publisher>
    <b:Author>
      <b:Author>
        <b:NameList>
          <b:Person>
            <b:Last>Boteju</b:Last>
            <b:First>Gehan</b:First>
          </b:Person>
          <b:Person>
            <b:Last>Tang</b:Last>
            <b:First>Leon</b:First>
          </b:Person>
          <b:Person>
            <b:Last>Scott Brown</b:Last>
            <b:First>Michael</b:First>
          </b:Person>
        </b:NameList>
      </b:Author>
    </b:Author>
    <b:URL>https://ieeexplore.ieee.org/document/10825023/authors#authors</b:URL>
    <b:DOI>10.1109/BigData62323.2024.10825023</b:DOI>
    <b:RefOrder>1</b:RefOrder>
  </b:Source>
  <b:Source>
    <b:Tag>Peñ</b:Tag>
    <b:SourceType>InternetSite</b:SourceType>
    <b:Guid>{CD3FCA29-3649-4670-A349-CAFED6D93C43}</b:Guid>
    <b:Title>Sistema de Alerta Temprana de Deserción Estudiantil (SAT-DE)</b:Title>
    <b:URL>https://github.com/KevinSSP/MIAD---Sistema-de-Alerta-Temprana-de-Deserci-n-en-la-Educaci-n-Superior/tree/main</b:URL>
    <b:Author>
      <b:Author>
        <b:NameList>
          <b:Person>
            <b:Last>Peña Pico.</b:Last>
            <b:First>Carol Johana</b:First>
          </b:Person>
          <b:Person>
            <b:Last>Sánchez Prieto</b:Last>
            <b:First>Kevin Snaider</b:First>
          </b:Person>
          <b:Person>
            <b:Last>Gómez Vigoya.</b:Last>
            <b:First>Jorge Alberto</b:First>
          </b:Person>
          <b:Person>
            <b:Last>Porras Ortiz.</b:Last>
            <b:First>Elizabeth Lorena</b:First>
          </b:Person>
        </b:NameList>
      </b:Author>
    </b:Author>
    <b:RefOrder>2</b:RefOrder>
  </b:Source>
  <b:Source>
    <b:Tag>Min24</b:Tag>
    <b:SourceType>DocumentFromInternetSite</b:SourceType>
    <b:Guid>{052B6131-F453-4F75-A310-CA05B068DC92}</b:Guid>
    <b:Title>SPADIES (Sistema para la Prevención de la Deserción en las Instituciones de Educación Superior)</b:Title>
    <b:Year>2024</b:Year>
    <b:Author>
      <b:Author>
        <b:NameList>
          <b:Person>
            <b:Last>MinEducacion</b:Last>
          </b:Person>
        </b:NameList>
      </b:Author>
    </b:Author>
    <b:URL>https://www.mineducacion.gov.co/sistemasdeinformacion/1783/articles-415244_cambio_metodologico_spadies_3.pdf</b:URL>
    <b:RefOrder>3</b:RefOrder>
  </b:Source>
</b:Sources>
</file>

<file path=customXml/itemProps1.xml><?xml version="1.0" encoding="utf-8"?>
<ds:datastoreItem xmlns:ds="http://schemas.openxmlformats.org/officeDocument/2006/customXml" ds:itemID="{7C891235-4261-48F9-AD48-B4130670A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5</Pages>
  <Words>1526</Words>
  <Characters>8394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Salones Bloque I</dc:creator>
  <cp:keywords/>
  <dc:description/>
  <cp:lastModifiedBy>Arnold Santiago Torres Anzola</cp:lastModifiedBy>
  <cp:revision>4</cp:revision>
  <dcterms:created xsi:type="dcterms:W3CDTF">2026-09-21T12:45:00Z</dcterms:created>
  <dcterms:modified xsi:type="dcterms:W3CDTF">2026-09-30T01:16:00Z</dcterms:modified>
</cp:coreProperties>
</file>