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E10C3" w14:textId="77777777" w:rsidR="001D7761" w:rsidRPr="001D7761" w:rsidRDefault="001D7761" w:rsidP="001D7761">
      <w:pPr>
        <w:rPr>
          <w:b/>
          <w:bCs/>
          <w:sz w:val="32"/>
          <w:szCs w:val="32"/>
        </w:rPr>
      </w:pPr>
      <w:r w:rsidRPr="001D7761">
        <w:rPr>
          <w:b/>
          <w:bCs/>
          <w:sz w:val="32"/>
          <w:szCs w:val="32"/>
        </w:rPr>
        <w:t>Propuesta de Adaptación de Máquinas de Soporte Vectorial para la Predicción Temprana de Deserción Estudiantil Universitaria bajo Diferentes Métodos de Normalización</w:t>
      </w:r>
    </w:p>
    <w:p w14:paraId="08A6090C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Integrantes:</w:t>
      </w:r>
    </w:p>
    <w:p w14:paraId="64B5BCBE" w14:textId="77777777" w:rsidR="001D7761" w:rsidRPr="001D7761" w:rsidRDefault="001D7761" w:rsidP="001D7761">
      <w:pPr>
        <w:numPr>
          <w:ilvl w:val="0"/>
          <w:numId w:val="10"/>
        </w:numPr>
        <w:rPr>
          <w:sz w:val="22"/>
          <w:szCs w:val="22"/>
        </w:rPr>
      </w:pPr>
      <w:r w:rsidRPr="001D7761">
        <w:rPr>
          <w:sz w:val="22"/>
          <w:szCs w:val="22"/>
        </w:rPr>
        <w:t xml:space="preserve">Sara </w:t>
      </w:r>
      <w:proofErr w:type="spellStart"/>
      <w:r w:rsidRPr="001D7761">
        <w:rPr>
          <w:sz w:val="22"/>
          <w:szCs w:val="22"/>
        </w:rPr>
        <w:t>Lopez</w:t>
      </w:r>
      <w:proofErr w:type="spellEnd"/>
      <w:r w:rsidRPr="001D7761">
        <w:rPr>
          <w:sz w:val="22"/>
          <w:szCs w:val="22"/>
        </w:rPr>
        <w:t xml:space="preserve"> Chavarro</w:t>
      </w:r>
    </w:p>
    <w:p w14:paraId="2B16A562" w14:textId="77777777" w:rsidR="001D7761" w:rsidRPr="001D7761" w:rsidRDefault="001D7761" w:rsidP="001D7761">
      <w:pPr>
        <w:numPr>
          <w:ilvl w:val="0"/>
          <w:numId w:val="10"/>
        </w:numPr>
        <w:rPr>
          <w:sz w:val="22"/>
          <w:szCs w:val="22"/>
        </w:rPr>
      </w:pPr>
      <w:r w:rsidRPr="001D7761">
        <w:rPr>
          <w:sz w:val="22"/>
          <w:szCs w:val="22"/>
        </w:rPr>
        <w:t xml:space="preserve">Nicolas </w:t>
      </w:r>
      <w:proofErr w:type="spellStart"/>
      <w:r w:rsidRPr="001D7761">
        <w:rPr>
          <w:sz w:val="22"/>
          <w:szCs w:val="22"/>
        </w:rPr>
        <w:t>Figeroa</w:t>
      </w:r>
      <w:proofErr w:type="spellEnd"/>
    </w:p>
    <w:p w14:paraId="1ED36AB5" w14:textId="77777777" w:rsidR="001D7761" w:rsidRPr="001D7761" w:rsidRDefault="001D7761" w:rsidP="001D7761">
      <w:pPr>
        <w:numPr>
          <w:ilvl w:val="0"/>
          <w:numId w:val="10"/>
        </w:numPr>
        <w:rPr>
          <w:sz w:val="22"/>
          <w:szCs w:val="22"/>
        </w:rPr>
      </w:pPr>
      <w:r w:rsidRPr="001D7761">
        <w:rPr>
          <w:sz w:val="22"/>
          <w:szCs w:val="22"/>
        </w:rPr>
        <w:t>Arnold Torres</w:t>
      </w:r>
    </w:p>
    <w:p w14:paraId="4CBE5F7B" w14:textId="77777777" w:rsidR="001D7761" w:rsidRDefault="001D7761" w:rsidP="001D7761">
      <w:pPr>
        <w:rPr>
          <w:b/>
          <w:bCs/>
          <w:sz w:val="22"/>
          <w:szCs w:val="22"/>
        </w:rPr>
      </w:pPr>
    </w:p>
    <w:p w14:paraId="2A801D3A" w14:textId="02521C0F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1. El problema</w:t>
      </w:r>
      <w:r>
        <w:rPr>
          <w:b/>
          <w:bCs/>
          <w:sz w:val="28"/>
          <w:szCs w:val="28"/>
        </w:rPr>
        <w:t xml:space="preserve"> planteado en el articulo</w:t>
      </w:r>
    </w:p>
    <w:p w14:paraId="0FEE1077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El artículo base seleccionado, titulado </w:t>
      </w:r>
      <w:r w:rsidRPr="001D7761">
        <w:rPr>
          <w:i/>
          <w:iCs/>
          <w:sz w:val="22"/>
          <w:szCs w:val="22"/>
        </w:rPr>
        <w:t>"</w:t>
      </w:r>
      <w:proofErr w:type="spellStart"/>
      <w:r w:rsidRPr="001D7761">
        <w:rPr>
          <w:i/>
          <w:iCs/>
          <w:sz w:val="22"/>
          <w:szCs w:val="22"/>
        </w:rPr>
        <w:t>Support</w:t>
      </w:r>
      <w:proofErr w:type="spellEnd"/>
      <w:r w:rsidRPr="001D7761">
        <w:rPr>
          <w:i/>
          <w:iCs/>
          <w:sz w:val="22"/>
          <w:szCs w:val="22"/>
        </w:rPr>
        <w:t xml:space="preserve"> Vector Machine </w:t>
      </w:r>
      <w:proofErr w:type="spellStart"/>
      <w:r w:rsidRPr="001D7761">
        <w:rPr>
          <w:i/>
          <w:iCs/>
          <w:sz w:val="22"/>
          <w:szCs w:val="22"/>
        </w:rPr>
        <w:t>for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Predicting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Student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Dropout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Under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Different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Normalization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Methods</w:t>
      </w:r>
      <w:proofErr w:type="spellEnd"/>
      <w:r w:rsidRPr="001D7761">
        <w:rPr>
          <w:i/>
          <w:iCs/>
          <w:sz w:val="22"/>
          <w:szCs w:val="22"/>
        </w:rPr>
        <w:t>"</w:t>
      </w:r>
      <w:r w:rsidRPr="001D7761">
        <w:rPr>
          <w:sz w:val="22"/>
          <w:szCs w:val="22"/>
        </w:rPr>
        <w:t xml:space="preserve"> (</w:t>
      </w:r>
      <w:proofErr w:type="spellStart"/>
      <w:r w:rsidRPr="001D7761">
        <w:rPr>
          <w:sz w:val="22"/>
          <w:szCs w:val="22"/>
        </w:rPr>
        <w:t>Boteju</w:t>
      </w:r>
      <w:proofErr w:type="spellEnd"/>
      <w:r w:rsidRPr="001D7761">
        <w:rPr>
          <w:sz w:val="22"/>
          <w:szCs w:val="22"/>
        </w:rPr>
        <w:t xml:space="preserve"> et al., 2024), aborda la problemática de la deserción y el retraso en la graduación en la educación superior. Este fenómeno genera costos económicos y psicológicos significativos tanto para los estudiantes (endeudamiento y pérdida de tiempo) como para las instituciones (pérdida de eficiencia y recursos). La detección temprana de estudiantes en riesgo es un desafío complejo debido a la influencia multifactorial de variables socioeconómicas, demográficas y académicas. </w:t>
      </w:r>
    </w:p>
    <w:p w14:paraId="3AFA6944" w14:textId="1A3719DF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2. El método</w:t>
      </w:r>
      <w:r>
        <w:rPr>
          <w:b/>
          <w:bCs/>
          <w:sz w:val="28"/>
          <w:szCs w:val="28"/>
        </w:rPr>
        <w:t xml:space="preserve"> usado en el articulo</w:t>
      </w:r>
    </w:p>
    <w:p w14:paraId="33A52CD9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El estudio implementa Máquinas de Soporte Vectorial (SVM) para clasificar el estado final del estudiante. Su núcleo metodológico radica en evaluar el impacto de 9 técnicas diferentes de preprocesamiento y normalización de datos (como </w:t>
      </w:r>
      <w:r w:rsidRPr="001D7761">
        <w:rPr>
          <w:i/>
          <w:iCs/>
          <w:sz w:val="22"/>
          <w:szCs w:val="22"/>
        </w:rPr>
        <w:t xml:space="preserve">Standard </w:t>
      </w:r>
      <w:proofErr w:type="spellStart"/>
      <w:r w:rsidRPr="001D7761">
        <w:rPr>
          <w:i/>
          <w:iCs/>
          <w:sz w:val="22"/>
          <w:szCs w:val="22"/>
        </w:rPr>
        <w:t>Scaler</w:t>
      </w:r>
      <w:proofErr w:type="spellEnd"/>
      <w:r w:rsidRPr="001D7761">
        <w:rPr>
          <w:sz w:val="22"/>
          <w:szCs w:val="22"/>
        </w:rPr>
        <w:t xml:space="preserve">, </w:t>
      </w:r>
      <w:r w:rsidRPr="001D7761">
        <w:rPr>
          <w:i/>
          <w:iCs/>
          <w:sz w:val="22"/>
          <w:szCs w:val="22"/>
        </w:rPr>
        <w:t xml:space="preserve">Min Max </w:t>
      </w:r>
      <w:proofErr w:type="spellStart"/>
      <w:r w:rsidRPr="001D7761">
        <w:rPr>
          <w:i/>
          <w:iCs/>
          <w:sz w:val="22"/>
          <w:szCs w:val="22"/>
        </w:rPr>
        <w:t>Scaler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One</w:t>
      </w:r>
      <w:proofErr w:type="spellEnd"/>
      <w:r w:rsidRPr="001D7761">
        <w:rPr>
          <w:i/>
          <w:iCs/>
          <w:sz w:val="22"/>
          <w:szCs w:val="22"/>
        </w:rPr>
        <w:t xml:space="preserve"> Hot </w:t>
      </w:r>
      <w:proofErr w:type="spellStart"/>
      <w:r w:rsidRPr="001D7761">
        <w:rPr>
          <w:i/>
          <w:iCs/>
          <w:sz w:val="22"/>
          <w:szCs w:val="22"/>
        </w:rPr>
        <w:t>Encoder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Quantile</w:t>
      </w:r>
      <w:proofErr w:type="spellEnd"/>
      <w:r w:rsidRPr="001D7761">
        <w:rPr>
          <w:i/>
          <w:iCs/>
          <w:sz w:val="22"/>
          <w:szCs w:val="22"/>
        </w:rPr>
        <w:t xml:space="preserve"> </w:t>
      </w:r>
      <w:proofErr w:type="spellStart"/>
      <w:r w:rsidRPr="001D7761">
        <w:rPr>
          <w:i/>
          <w:iCs/>
          <w:sz w:val="22"/>
          <w:szCs w:val="22"/>
        </w:rPr>
        <w:t>Transformer</w:t>
      </w:r>
      <w:proofErr w:type="spellEnd"/>
      <w:r w:rsidRPr="001D7761">
        <w:rPr>
          <w:sz w:val="22"/>
          <w:szCs w:val="22"/>
        </w:rPr>
        <w:t xml:space="preserve">, entre otros) sobre la capacidad predictiva del modelo. Configuran una SVM con un núcleo polinómico de grado 3 y validan los resultados mediante ejecuciones iterativas de 50 ensayos para garantizar estabilidad estadística. </w:t>
      </w:r>
    </w:p>
    <w:p w14:paraId="62B63DD2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Supuestos principales del artículo</w:t>
      </w:r>
    </w:p>
    <w:p w14:paraId="046E9BF3" w14:textId="77777777" w:rsidR="001D7761" w:rsidRPr="001D7761" w:rsidRDefault="001D7761" w:rsidP="001D7761">
      <w:pPr>
        <w:numPr>
          <w:ilvl w:val="0"/>
          <w:numId w:val="11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Relaciones no lineales:</w:t>
      </w:r>
      <w:r w:rsidRPr="001D7761">
        <w:rPr>
          <w:sz w:val="22"/>
          <w:szCs w:val="22"/>
        </w:rPr>
        <w:t xml:space="preserve"> Los datos presentan relaciones complejas que pueden ser separadas en espacios de alta dimensión mediante el uso de funciones de </w:t>
      </w:r>
      <w:proofErr w:type="spellStart"/>
      <w:r w:rsidRPr="001D7761">
        <w:rPr>
          <w:sz w:val="22"/>
          <w:szCs w:val="22"/>
        </w:rPr>
        <w:t>kernel</w:t>
      </w:r>
      <w:proofErr w:type="spellEnd"/>
      <w:r w:rsidRPr="001D7761">
        <w:rPr>
          <w:sz w:val="22"/>
          <w:szCs w:val="22"/>
        </w:rPr>
        <w:t xml:space="preserve"> (truco del </w:t>
      </w:r>
      <w:proofErr w:type="spellStart"/>
      <w:r w:rsidRPr="001D7761">
        <w:rPr>
          <w:sz w:val="22"/>
          <w:szCs w:val="22"/>
        </w:rPr>
        <w:t>kernel</w:t>
      </w:r>
      <w:proofErr w:type="spellEnd"/>
      <w:r w:rsidRPr="001D7761">
        <w:rPr>
          <w:sz w:val="22"/>
          <w:szCs w:val="22"/>
        </w:rPr>
        <w:t xml:space="preserve">). </w:t>
      </w:r>
    </w:p>
    <w:p w14:paraId="22617A04" w14:textId="77777777" w:rsidR="001D7761" w:rsidRPr="001D7761" w:rsidRDefault="001D7761" w:rsidP="001D7761">
      <w:pPr>
        <w:numPr>
          <w:ilvl w:val="0"/>
          <w:numId w:val="11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Sensibilidad al escalado:</w:t>
      </w:r>
      <w:r w:rsidRPr="001D7761">
        <w:rPr>
          <w:sz w:val="22"/>
          <w:szCs w:val="22"/>
        </w:rPr>
        <w:t xml:space="preserve"> La escala y la transformación de las características de entrada alteran de forma directa la posición de los hiperplanos de separación y los vectores de soporte, afectando la generalización del modelo. </w:t>
      </w:r>
    </w:p>
    <w:p w14:paraId="1092C2E6" w14:textId="77777777" w:rsidR="001D7761" w:rsidRPr="001D7761" w:rsidRDefault="001D7761" w:rsidP="001D7761">
      <w:pPr>
        <w:numPr>
          <w:ilvl w:val="0"/>
          <w:numId w:val="11"/>
        </w:numPr>
        <w:rPr>
          <w:sz w:val="22"/>
          <w:szCs w:val="22"/>
        </w:rPr>
      </w:pPr>
      <w:proofErr w:type="spellStart"/>
      <w:r w:rsidRPr="001D7761">
        <w:rPr>
          <w:b/>
          <w:bCs/>
          <w:sz w:val="22"/>
          <w:szCs w:val="22"/>
        </w:rPr>
        <w:t>Multifactorialidad</w:t>
      </w:r>
      <w:proofErr w:type="spellEnd"/>
      <w:r w:rsidRPr="001D7761">
        <w:rPr>
          <w:b/>
          <w:bCs/>
          <w:sz w:val="22"/>
          <w:szCs w:val="22"/>
        </w:rPr>
        <w:t>:</w:t>
      </w:r>
      <w:r w:rsidRPr="001D7761">
        <w:rPr>
          <w:sz w:val="22"/>
          <w:szCs w:val="22"/>
        </w:rPr>
        <w:t xml:space="preserve"> Las variables socioeconómicas, demográficas y académicas capturan las señales latentes de riesgo de abandono escolar. </w:t>
      </w:r>
    </w:p>
    <w:p w14:paraId="694BA40E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lastRenderedPageBreak/>
        <w:t>Resultados reportados y limitaciones</w:t>
      </w:r>
    </w:p>
    <w:p w14:paraId="15E19743" w14:textId="77777777" w:rsidR="001D7761" w:rsidRPr="001D7761" w:rsidRDefault="001D7761" w:rsidP="001D7761">
      <w:pPr>
        <w:numPr>
          <w:ilvl w:val="0"/>
          <w:numId w:val="12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Resultados:</w:t>
      </w:r>
      <w:r w:rsidRPr="001D7761">
        <w:rPr>
          <w:sz w:val="22"/>
          <w:szCs w:val="22"/>
        </w:rPr>
        <w:t xml:space="preserve"> Se demostró que el preprocesamiento es crítico; el uso de </w:t>
      </w:r>
      <w:proofErr w:type="spellStart"/>
      <w:r w:rsidRPr="001D7761">
        <w:rPr>
          <w:i/>
          <w:iCs/>
          <w:sz w:val="22"/>
          <w:szCs w:val="22"/>
        </w:rPr>
        <w:t>One</w:t>
      </w:r>
      <w:proofErr w:type="spellEnd"/>
      <w:r w:rsidRPr="001D7761">
        <w:rPr>
          <w:i/>
          <w:iCs/>
          <w:sz w:val="22"/>
          <w:szCs w:val="22"/>
        </w:rPr>
        <w:t xml:space="preserve"> Hot </w:t>
      </w:r>
      <w:proofErr w:type="spellStart"/>
      <w:r w:rsidRPr="001D7761">
        <w:rPr>
          <w:i/>
          <w:iCs/>
          <w:sz w:val="22"/>
          <w:szCs w:val="22"/>
        </w:rPr>
        <w:t>Encoder</w:t>
      </w:r>
      <w:proofErr w:type="spellEnd"/>
      <w:r w:rsidRPr="001D7761">
        <w:rPr>
          <w:sz w:val="22"/>
          <w:szCs w:val="22"/>
        </w:rPr>
        <w:t xml:space="preserve"> obtuvo el mejor desempeño promedio con un puntaje F1 de 0.778, superando ampliamente a los modelos sin normalización (que promediaban 0.50). </w:t>
      </w:r>
    </w:p>
    <w:p w14:paraId="0A74A794" w14:textId="77777777" w:rsidR="001D7761" w:rsidRPr="001D7761" w:rsidRDefault="001D7761" w:rsidP="001D7761">
      <w:pPr>
        <w:numPr>
          <w:ilvl w:val="0"/>
          <w:numId w:val="12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Limitaciones:</w:t>
      </w:r>
      <w:r w:rsidRPr="001D7761">
        <w:rPr>
          <w:sz w:val="22"/>
          <w:szCs w:val="22"/>
        </w:rPr>
        <w:t xml:space="preserve"> El estudio se limita a un </w:t>
      </w:r>
      <w:proofErr w:type="spellStart"/>
      <w:r w:rsidRPr="001D7761">
        <w:rPr>
          <w:sz w:val="22"/>
          <w:szCs w:val="22"/>
        </w:rPr>
        <w:t>dataset</w:t>
      </w:r>
      <w:proofErr w:type="spellEnd"/>
      <w:r w:rsidRPr="001D7761">
        <w:rPr>
          <w:sz w:val="22"/>
          <w:szCs w:val="22"/>
        </w:rPr>
        <w:t xml:space="preserve"> específico de la UC Irvine de 4,424 registros y explora un conjunto cerrado de transformaciones, dejando abierta la discusión sobre cómo se comportan estas técnicas frente a clases altamente desbalanceadas en contextos institucionales específicos de América Latina. </w:t>
      </w:r>
    </w:p>
    <w:p w14:paraId="384DA21F" w14:textId="77777777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3. Planteamiento del Problema en un Contexto Local</w:t>
      </w:r>
    </w:p>
    <w:p w14:paraId="1551526F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Pregunta de investigación</w:t>
      </w:r>
    </w:p>
    <w:p w14:paraId="6BD437A0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i/>
          <w:iCs/>
          <w:sz w:val="22"/>
          <w:szCs w:val="22"/>
        </w:rPr>
        <w:t xml:space="preserve">¿Es posible predecir de manera temprana el riesgo de deserción académica en estudiantes universitarios de pregrado en Colombia mediante un flujo robusto de Machine </w:t>
      </w:r>
      <w:proofErr w:type="spellStart"/>
      <w:r w:rsidRPr="001D7761">
        <w:rPr>
          <w:i/>
          <w:iCs/>
          <w:sz w:val="22"/>
          <w:szCs w:val="22"/>
        </w:rPr>
        <w:t>Learning</w:t>
      </w:r>
      <w:proofErr w:type="spellEnd"/>
      <w:r w:rsidRPr="001D7761">
        <w:rPr>
          <w:i/>
          <w:iCs/>
          <w:sz w:val="22"/>
          <w:szCs w:val="22"/>
        </w:rPr>
        <w:t xml:space="preserve"> basado en SVM, optimizando el rendimiento predictivo a través de técnicas avanzadas de normalización de datos?</w:t>
      </w:r>
    </w:p>
    <w:p w14:paraId="4766E405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Tipo de tarea</w:t>
      </w:r>
    </w:p>
    <w:p w14:paraId="51466710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Problema de clasificación multiclase (con proyección a binarización crítica para identificar la clase de interés: "Desertor" vs. "No Desertor").</w:t>
      </w:r>
    </w:p>
    <w:p w14:paraId="14ECA31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Variable objetivo</w:t>
      </w:r>
    </w:p>
    <w:p w14:paraId="55394767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La variable objetivo es el estado académico final del estudiante al término de su cohorte o periodo de seguimiento, categorizada en tres clases discretas:</w:t>
      </w:r>
    </w:p>
    <w:p w14:paraId="11750E0B" w14:textId="77777777" w:rsidR="001D7761" w:rsidRPr="001D7761" w:rsidRDefault="001D7761" w:rsidP="001D7761">
      <w:pPr>
        <w:numPr>
          <w:ilvl w:val="0"/>
          <w:numId w:val="13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Graduado:</w:t>
      </w:r>
      <w:r w:rsidRPr="001D7761">
        <w:rPr>
          <w:sz w:val="22"/>
          <w:szCs w:val="22"/>
        </w:rPr>
        <w:t xml:space="preserve"> Estudiante que culmina su plan de estudios exitosamente.</w:t>
      </w:r>
    </w:p>
    <w:p w14:paraId="52A86462" w14:textId="77777777" w:rsidR="001D7761" w:rsidRPr="001D7761" w:rsidRDefault="001D7761" w:rsidP="001D7761">
      <w:pPr>
        <w:numPr>
          <w:ilvl w:val="0"/>
          <w:numId w:val="13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En curso:</w:t>
      </w:r>
      <w:r w:rsidRPr="001D7761">
        <w:rPr>
          <w:sz w:val="22"/>
          <w:szCs w:val="22"/>
        </w:rPr>
        <w:t xml:space="preserve"> Estudiante activo que continúa su proceso formative.</w:t>
      </w:r>
    </w:p>
    <w:p w14:paraId="211FD9C5" w14:textId="77777777" w:rsidR="001D7761" w:rsidRPr="001D7761" w:rsidRDefault="001D7761" w:rsidP="001D7761">
      <w:pPr>
        <w:numPr>
          <w:ilvl w:val="0"/>
          <w:numId w:val="13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Desertor:</w:t>
      </w:r>
      <w:r w:rsidRPr="001D7761">
        <w:rPr>
          <w:sz w:val="22"/>
          <w:szCs w:val="22"/>
        </w:rPr>
        <w:t xml:space="preserve"> Estudiante que abandona formal o informalmente el programa.</w:t>
      </w:r>
    </w:p>
    <w:p w14:paraId="5DF2300F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Para mayor precisión analítica, se adoptan las definiciones institucionales de abandono:</w:t>
      </w:r>
    </w:p>
    <w:p w14:paraId="2F2A92F5" w14:textId="77777777" w:rsidR="001D7761" w:rsidRPr="001D7761" w:rsidRDefault="001D7761" w:rsidP="001D7761">
      <w:pPr>
        <w:numPr>
          <w:ilvl w:val="0"/>
          <w:numId w:val="14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Abandono formal:</w:t>
      </w:r>
      <w:r w:rsidRPr="001D7761">
        <w:rPr>
          <w:sz w:val="22"/>
          <w:szCs w:val="22"/>
        </w:rPr>
        <w:t xml:space="preserve"> Ocurre cuando el estudiante realiza un trámite administrativo e institucional de retiro oficial. Esto incluye la cancelación explícita de la matrícula, la solicitud de retiro definitivo del programa o la anulación de su cupo ante la oficina de admisiones o secretaría académica de la universidad. En este caso, la institución tiene constancia administrativa inmediata de su salida.</w:t>
      </w:r>
    </w:p>
    <w:p w14:paraId="0F547CE0" w14:textId="77777777" w:rsidR="001D7761" w:rsidRPr="001D7761" w:rsidRDefault="001D7761" w:rsidP="001D7761">
      <w:pPr>
        <w:numPr>
          <w:ilvl w:val="0"/>
          <w:numId w:val="14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Abandono informal (Deserción silenciosa):</w:t>
      </w:r>
      <w:r w:rsidRPr="001D7761">
        <w:rPr>
          <w:sz w:val="22"/>
          <w:szCs w:val="22"/>
        </w:rPr>
        <w:t xml:space="preserve"> Ocurre cuando el estudiante simplemente deja de asistir a clases, abandona las actividades académicas, deja de presentar evaluaciones y no renueva su matrícula para el periodo siguiente, sin notificar oficialmente a la universidad ni realizar ningún trámite de retiro. Este tipo de </w:t>
      </w:r>
      <w:r w:rsidRPr="001D7761">
        <w:rPr>
          <w:sz w:val="22"/>
          <w:szCs w:val="22"/>
        </w:rPr>
        <w:lastRenderedPageBreak/>
        <w:t>abandono suele detectarse de manera tardía por parte de la institución a través de la inasistencia prolongada o la inactividad en los sistemas de gestión de aprendizaje.</w:t>
      </w:r>
    </w:p>
    <w:p w14:paraId="374755DF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En el contexto colombiano, la deserción en educación superior afecta la movilidad social y la eficiencia del sistema educativo. Contar con un modelo predictivo integrado en las instituciones permite a las directivas y a los centros de bienestar universitario activar rutas de intervención temprana (como tutorías, apoyo financiero o asesoría psicológica) antes de que el estudiante abandone definitivamente sus estudios.</w:t>
      </w:r>
    </w:p>
    <w:p w14:paraId="66265E49" w14:textId="6C2097A1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Se reproducirá y adaptará la metodología central del artículo de </w:t>
      </w:r>
      <w:proofErr w:type="spellStart"/>
      <w:r w:rsidRPr="001D7761">
        <w:rPr>
          <w:sz w:val="22"/>
          <w:szCs w:val="22"/>
        </w:rPr>
        <w:t>Boteju</w:t>
      </w:r>
      <w:proofErr w:type="spellEnd"/>
      <w:r w:rsidRPr="001D7761">
        <w:rPr>
          <w:sz w:val="22"/>
          <w:szCs w:val="22"/>
        </w:rPr>
        <w:t xml:space="preserve"> et al. (2024), consistente en la aplicación sistemática de SVM evaluando múltiples esquemas de normalización. Sin embargo, se adaptará incorporando un flujo riguroso propio de </w:t>
      </w:r>
      <w:r w:rsidRPr="001D7761">
        <w:rPr>
          <w:i/>
          <w:iCs/>
          <w:sz w:val="22"/>
          <w:szCs w:val="22"/>
        </w:rPr>
        <w:t xml:space="preserve">Machine </w:t>
      </w:r>
      <w:proofErr w:type="spellStart"/>
      <w:r w:rsidRPr="001D7761">
        <w:rPr>
          <w:i/>
          <w:iCs/>
          <w:sz w:val="22"/>
          <w:szCs w:val="22"/>
        </w:rPr>
        <w:t>Learning</w:t>
      </w:r>
      <w:proofErr w:type="spellEnd"/>
      <w:r w:rsidRPr="001D7761">
        <w:rPr>
          <w:i/>
          <w:iCs/>
          <w:sz w:val="22"/>
          <w:szCs w:val="22"/>
        </w:rPr>
        <w:t xml:space="preserve"> II</w:t>
      </w:r>
      <w:r w:rsidRPr="001D7761">
        <w:rPr>
          <w:sz w:val="22"/>
          <w:szCs w:val="22"/>
        </w:rPr>
        <w:t xml:space="preserve">: validación cruzada anidada, análisis detallado de curvas de decisión y métricas ajustadas al desbalance de clases típico del fenómeno de deserción en el sistema universitario nacional. </w:t>
      </w:r>
    </w:p>
    <w:p w14:paraId="5497B0B6" w14:textId="77777777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4. Estrategia de Datos (Fundamentación SPADIES 3.0)</w:t>
      </w:r>
    </w:p>
    <w:p w14:paraId="5A631D71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Para cumplir con el requerimiento metodológico de contar con un volumen robusto (mínimo 5,000 registros) y garantizar la reproducibilidad, se adoptará la vía de Simulación Fundamentada, adoptando el marco conceptual y metodológico del Sistema para la Prevención y Análisis de la Deserción en las Instituciones de Educación Superior (SPADIES 3.0) del Ministerio de Educación Nacional de Colombia. </w:t>
      </w:r>
    </w:p>
    <w:p w14:paraId="276D646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Justificación y estructura de la simulación</w:t>
      </w:r>
    </w:p>
    <w:p w14:paraId="2AB1698F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La estructura generadora replicará el enfoque de "historia de vida" promovido por el SPADIES 3.0, simulando transiciones semestre a semestre bajo distribuciones y dependencias empíricas observadas en el sistema educativo nacional. </w:t>
      </w:r>
    </w:p>
    <w:p w14:paraId="732B57E1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Para garantizar un realismo estricto, la generación de los datos se basará en las variables de caracterización oficiales extraídas del módulo de consulta básica del SPADIES 3.0: </w:t>
      </w:r>
    </w:p>
    <w:p w14:paraId="60D75723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Edad al presentar el ICFES:</w:t>
      </w:r>
      <w:r w:rsidRPr="001D7761">
        <w:rPr>
          <w:sz w:val="22"/>
          <w:szCs w:val="22"/>
        </w:rPr>
        <w:t xml:space="preserve"> Variable demográfica que modela la edad de ingreso del estudiante al sistema de educación superior. </w:t>
      </w:r>
    </w:p>
    <w:p w14:paraId="4036B20E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Ingresos de la familia:</w:t>
      </w:r>
      <w:r w:rsidRPr="001D7761">
        <w:rPr>
          <w:sz w:val="22"/>
          <w:szCs w:val="22"/>
        </w:rPr>
        <w:t xml:space="preserve"> Estratificación o rangos de ingresos del núcleo familiar orientados a capturar la vulnerabilidad socioeconómica. </w:t>
      </w:r>
    </w:p>
    <w:p w14:paraId="0D59A2D9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Apoyos y tipo de crédito del ICETEX:</w:t>
      </w:r>
      <w:r w:rsidRPr="001D7761">
        <w:rPr>
          <w:sz w:val="22"/>
          <w:szCs w:val="22"/>
        </w:rPr>
        <w:t xml:space="preserve"> Indicadores y categorías que determinan si el estudiante cuenta con financiación externa (crédito de corto o largo plazo, o subsidios). </w:t>
      </w:r>
    </w:p>
    <w:p w14:paraId="42C9178E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Situación laboral (si trabajaba al presentar el ICFES):</w:t>
      </w:r>
      <w:r w:rsidRPr="001D7761">
        <w:rPr>
          <w:sz w:val="22"/>
          <w:szCs w:val="22"/>
        </w:rPr>
        <w:t xml:space="preserve"> Condición de ocupación laboral previa o simultánea al ingreso a la educación superior. </w:t>
      </w:r>
    </w:p>
    <w:p w14:paraId="37996952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lastRenderedPageBreak/>
        <w:t>Clasificación en el ICFES (Saber 11):</w:t>
      </w:r>
      <w:r w:rsidRPr="001D7761">
        <w:rPr>
          <w:sz w:val="22"/>
          <w:szCs w:val="22"/>
        </w:rPr>
        <w:t xml:space="preserve"> Nivel de desempeño y puntajes obtenidos en la prueba de Estado, reflejando las competencias académicas de base. </w:t>
      </w:r>
    </w:p>
    <w:p w14:paraId="136A3440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Apoyos institucionales de la universidad:</w:t>
      </w:r>
      <w:r w:rsidRPr="001D7761">
        <w:rPr>
          <w:sz w:val="22"/>
          <w:szCs w:val="22"/>
        </w:rPr>
        <w:t xml:space="preserve"> Variable que registra si el estudiante ha sido beneficiario de auxilios, </w:t>
      </w:r>
      <w:proofErr w:type="spellStart"/>
      <w:r w:rsidRPr="001D7761">
        <w:rPr>
          <w:sz w:val="22"/>
          <w:szCs w:val="22"/>
        </w:rPr>
        <w:t>monitorías</w:t>
      </w:r>
      <w:proofErr w:type="spellEnd"/>
      <w:r w:rsidRPr="001D7761">
        <w:rPr>
          <w:sz w:val="22"/>
          <w:szCs w:val="22"/>
        </w:rPr>
        <w:t xml:space="preserve"> o apoyos socioeconómicos otorgados directamente por la IES. </w:t>
      </w:r>
    </w:p>
    <w:p w14:paraId="6C633D56" w14:textId="77777777" w:rsidR="001D7761" w:rsidRPr="001D7761" w:rsidRDefault="001D7761" w:rsidP="001D7761">
      <w:pPr>
        <w:numPr>
          <w:ilvl w:val="0"/>
          <w:numId w:val="15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Rendimiento académico y dependencias causales:</w:t>
      </w:r>
      <w:r w:rsidRPr="001D7761">
        <w:rPr>
          <w:sz w:val="22"/>
          <w:szCs w:val="22"/>
        </w:rPr>
        <w:t xml:space="preserve"> Promedio ponderado acumulado (PPA) en los primeros semestres y número de créditos reprobados, modelados con distribuciones beta y gamma truncadas. Se introducirán correlaciones lógicas fundamentadas en la dinámica del SPADIES 3.0 (por ejemplo, menor puntaje de clasificación ICFES, baja familia de ingresos y alta carga laboral previa aumentan la probabilidad de caída en el PPA, incrementando exponencialmente la probabilidad de transición a la clase </w:t>
      </w:r>
      <w:r w:rsidRPr="001D7761">
        <w:rPr>
          <w:i/>
          <w:iCs/>
          <w:sz w:val="22"/>
          <w:szCs w:val="22"/>
        </w:rPr>
        <w:t>Desertor</w:t>
      </w:r>
      <w:r w:rsidRPr="001D7761">
        <w:rPr>
          <w:sz w:val="22"/>
          <w:szCs w:val="22"/>
        </w:rPr>
        <w:t xml:space="preserve"> bajo el criterio de inasistencia por dos o más periodos consecutivos). </w:t>
      </w:r>
    </w:p>
    <w:p w14:paraId="3634EE0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 xml:space="preserve">Caracterización del </w:t>
      </w:r>
      <w:proofErr w:type="spellStart"/>
      <w:r w:rsidRPr="001D7761">
        <w:rPr>
          <w:b/>
          <w:bCs/>
          <w:sz w:val="22"/>
          <w:szCs w:val="22"/>
        </w:rPr>
        <w:t>dataset</w:t>
      </w:r>
      <w:proofErr w:type="spellEnd"/>
      <w:r w:rsidRPr="001D7761">
        <w:rPr>
          <w:b/>
          <w:bCs/>
          <w:sz w:val="22"/>
          <w:szCs w:val="22"/>
        </w:rPr>
        <w:t xml:space="preserve"> previsto</w:t>
      </w:r>
    </w:p>
    <w:p w14:paraId="279C37AB" w14:textId="5873CFAD" w:rsidR="001D7761" w:rsidRPr="001D7761" w:rsidRDefault="001D7761" w:rsidP="001D7761">
      <w:pPr>
        <w:numPr>
          <w:ilvl w:val="0"/>
          <w:numId w:val="16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Volumen:</w:t>
      </w:r>
      <w:r w:rsidRPr="001D7761">
        <w:rPr>
          <w:sz w:val="22"/>
          <w:szCs w:val="22"/>
        </w:rPr>
        <w:t xml:space="preserve"> 6,000 registros de estudiantes simulados</w:t>
      </w:r>
      <w:r>
        <w:rPr>
          <w:sz w:val="22"/>
          <w:szCs w:val="22"/>
        </w:rPr>
        <w:t>.</w:t>
      </w:r>
    </w:p>
    <w:p w14:paraId="2F106CA5" w14:textId="77777777" w:rsidR="001D7761" w:rsidRPr="001D7761" w:rsidRDefault="001D7761" w:rsidP="001D7761">
      <w:pPr>
        <w:numPr>
          <w:ilvl w:val="0"/>
          <w:numId w:val="16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Predictores:</w:t>
      </w:r>
      <w:r w:rsidRPr="001D7761">
        <w:rPr>
          <w:sz w:val="22"/>
          <w:szCs w:val="22"/>
        </w:rPr>
        <w:t xml:space="preserve"> 36 atributos estructurados en dimensiones demográficas, socioeconómicas, de desempeño académico temprano y de ayudas financieras (ICETEX e institucionales). </w:t>
      </w:r>
    </w:p>
    <w:p w14:paraId="2424C165" w14:textId="77777777" w:rsidR="001D7761" w:rsidRPr="001D7761" w:rsidRDefault="001D7761" w:rsidP="001D7761">
      <w:pPr>
        <w:numPr>
          <w:ilvl w:val="0"/>
          <w:numId w:val="16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Variable objetivo:</w:t>
      </w:r>
      <w:r w:rsidRPr="001D7761">
        <w:rPr>
          <w:sz w:val="22"/>
          <w:szCs w:val="22"/>
        </w:rPr>
        <w:t xml:space="preserve"> Estado de terminación del ciclo académico (Graduado, Enrolado, Desertor). </w:t>
      </w:r>
    </w:p>
    <w:p w14:paraId="311C1629" w14:textId="77777777" w:rsidR="001D7761" w:rsidRPr="001D7761" w:rsidRDefault="001D7761" w:rsidP="001D7761">
      <w:pPr>
        <w:rPr>
          <w:b/>
          <w:bCs/>
          <w:sz w:val="28"/>
          <w:szCs w:val="28"/>
        </w:rPr>
      </w:pPr>
      <w:r w:rsidRPr="001D7761">
        <w:rPr>
          <w:b/>
          <w:bCs/>
          <w:sz w:val="28"/>
          <w:szCs w:val="28"/>
        </w:rPr>
        <w:t>5. Plan de Modelamiento y Línea Base</w:t>
      </w:r>
    </w:p>
    <w:p w14:paraId="1D8AEDE6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Modelos avanzados candidatos</w:t>
      </w:r>
    </w:p>
    <w:p w14:paraId="75D56393" w14:textId="37C8C1CD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Dado el enfoque del curso y del artículo, se implementarán y compararán los siguientes modelos utilizando la librería </w:t>
      </w:r>
      <w:proofErr w:type="spellStart"/>
      <w:r w:rsidRPr="001D7761">
        <w:rPr>
          <w:sz w:val="22"/>
          <w:szCs w:val="22"/>
        </w:rPr>
        <w:t>scikit-learn</w:t>
      </w:r>
      <w:proofErr w:type="spellEnd"/>
      <w:r>
        <w:rPr>
          <w:sz w:val="22"/>
          <w:szCs w:val="22"/>
        </w:rPr>
        <w:t xml:space="preserve"> siguiendo los lineamientos dados también dentro del articulo guía</w:t>
      </w:r>
      <w:r w:rsidRPr="001D7761">
        <w:rPr>
          <w:sz w:val="22"/>
          <w:szCs w:val="22"/>
        </w:rPr>
        <w:t>:</w:t>
      </w:r>
    </w:p>
    <w:p w14:paraId="1659E223" w14:textId="77777777" w:rsidR="001D7761" w:rsidRPr="001D7761" w:rsidRDefault="001D7761" w:rsidP="001D7761">
      <w:pPr>
        <w:numPr>
          <w:ilvl w:val="0"/>
          <w:numId w:val="17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 xml:space="preserve">SVM con </w:t>
      </w:r>
      <w:proofErr w:type="spellStart"/>
      <w:r w:rsidRPr="001D7761">
        <w:rPr>
          <w:b/>
          <w:bCs/>
          <w:sz w:val="22"/>
          <w:szCs w:val="22"/>
        </w:rPr>
        <w:t>Kernel</w:t>
      </w:r>
      <w:proofErr w:type="spellEnd"/>
      <w:r w:rsidRPr="001D7761">
        <w:rPr>
          <w:b/>
          <w:bCs/>
          <w:sz w:val="22"/>
          <w:szCs w:val="22"/>
        </w:rPr>
        <w:t xml:space="preserve"> Polinómico y Lineal:</w:t>
      </w:r>
      <w:r w:rsidRPr="001D7761">
        <w:rPr>
          <w:sz w:val="22"/>
          <w:szCs w:val="22"/>
        </w:rPr>
        <w:t xml:space="preserve"> Reproduciendo el enfoque del artículo base bajo diferentes transformaciones de escalado (</w:t>
      </w:r>
      <w:proofErr w:type="spellStart"/>
      <w:r w:rsidRPr="001D7761">
        <w:rPr>
          <w:i/>
          <w:iCs/>
          <w:sz w:val="22"/>
          <w:szCs w:val="22"/>
        </w:rPr>
        <w:t>StandardScaler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MinMaxScaler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OneHotEncoder</w:t>
      </w:r>
      <w:proofErr w:type="spellEnd"/>
      <w:r w:rsidRPr="001D7761">
        <w:rPr>
          <w:sz w:val="22"/>
          <w:szCs w:val="22"/>
        </w:rPr>
        <w:t xml:space="preserve">, </w:t>
      </w:r>
      <w:proofErr w:type="spellStart"/>
      <w:r w:rsidRPr="001D7761">
        <w:rPr>
          <w:i/>
          <w:iCs/>
          <w:sz w:val="22"/>
          <w:szCs w:val="22"/>
        </w:rPr>
        <w:t>QuantileTransformer</w:t>
      </w:r>
      <w:proofErr w:type="spellEnd"/>
      <w:r w:rsidRPr="001D7761">
        <w:rPr>
          <w:sz w:val="22"/>
          <w:szCs w:val="22"/>
        </w:rPr>
        <w:t xml:space="preserve">). </w:t>
      </w:r>
    </w:p>
    <w:p w14:paraId="11450334" w14:textId="5F74CDEE" w:rsidR="001D7761" w:rsidRDefault="001D7761" w:rsidP="001D7761">
      <w:pPr>
        <w:numPr>
          <w:ilvl w:val="0"/>
          <w:numId w:val="17"/>
        </w:numPr>
        <w:rPr>
          <w:sz w:val="22"/>
          <w:szCs w:val="22"/>
        </w:rPr>
      </w:pPr>
      <w:r w:rsidRPr="001D7761">
        <w:rPr>
          <w:b/>
          <w:bCs/>
          <w:sz w:val="22"/>
          <w:szCs w:val="22"/>
        </w:rPr>
        <w:t>Modelos de Ensambles basados en Árboles (</w:t>
      </w:r>
      <w:proofErr w:type="spellStart"/>
      <w:r w:rsidRPr="001D7761">
        <w:rPr>
          <w:b/>
          <w:bCs/>
          <w:sz w:val="22"/>
          <w:szCs w:val="22"/>
        </w:rPr>
        <w:t>Random</w:t>
      </w:r>
      <w:proofErr w:type="spellEnd"/>
      <w:r w:rsidRPr="001D7761">
        <w:rPr>
          <w:b/>
          <w:bCs/>
          <w:sz w:val="22"/>
          <w:szCs w:val="22"/>
        </w:rPr>
        <w:t xml:space="preserve"> Forest</w:t>
      </w:r>
      <w:r>
        <w:rPr>
          <w:b/>
          <w:bCs/>
          <w:sz w:val="22"/>
          <w:szCs w:val="22"/>
        </w:rPr>
        <w:t xml:space="preserve">, </w:t>
      </w:r>
      <w:proofErr w:type="spellStart"/>
      <w:r w:rsidRPr="001D7761">
        <w:rPr>
          <w:b/>
          <w:bCs/>
          <w:sz w:val="22"/>
          <w:szCs w:val="22"/>
        </w:rPr>
        <w:t>Gradient</w:t>
      </w:r>
      <w:proofErr w:type="spellEnd"/>
      <w:r w:rsidRPr="001D7761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1D7761">
        <w:rPr>
          <w:b/>
          <w:bCs/>
          <w:sz w:val="22"/>
          <w:szCs w:val="22"/>
        </w:rPr>
        <w:t>Boosting</w:t>
      </w:r>
      <w:proofErr w:type="spellEnd"/>
      <w:r>
        <w:rPr>
          <w:b/>
          <w:bCs/>
          <w:sz w:val="22"/>
          <w:szCs w:val="22"/>
        </w:rPr>
        <w:t xml:space="preserve">, </w:t>
      </w:r>
      <w:r w:rsidRPr="001D7761">
        <w:rPr>
          <w:b/>
          <w:bCs/>
          <w:sz w:val="22"/>
          <w:szCs w:val="22"/>
        </w:rPr>
        <w:t xml:space="preserve"> </w:t>
      </w:r>
      <w:proofErr w:type="spellStart"/>
      <w:r w:rsidRPr="001D7761">
        <w:rPr>
          <w:b/>
          <w:bCs/>
          <w:sz w:val="22"/>
          <w:szCs w:val="22"/>
        </w:rPr>
        <w:t>XGBoost</w:t>
      </w:r>
      <w:proofErr w:type="spellEnd"/>
      <w:proofErr w:type="gramEnd"/>
      <w:r w:rsidRPr="001D7761">
        <w:rPr>
          <w:b/>
          <w:bCs/>
          <w:sz w:val="22"/>
          <w:szCs w:val="22"/>
        </w:rPr>
        <w:t>):</w:t>
      </w:r>
      <w:r w:rsidRPr="001D7761">
        <w:rPr>
          <w:sz w:val="22"/>
          <w:szCs w:val="22"/>
        </w:rPr>
        <w:t xml:space="preserve"> Utilizados como modelos avanzados de comparación para evaluar si superan la capacidad de separación </w:t>
      </w:r>
      <w:proofErr w:type="spellStart"/>
      <w:r w:rsidRPr="001D7761">
        <w:rPr>
          <w:sz w:val="22"/>
          <w:szCs w:val="22"/>
        </w:rPr>
        <w:t>hiperplana</w:t>
      </w:r>
      <w:proofErr w:type="spellEnd"/>
      <w:r w:rsidRPr="001D7761">
        <w:rPr>
          <w:sz w:val="22"/>
          <w:szCs w:val="22"/>
        </w:rPr>
        <w:t xml:space="preserve"> de las SVM en este espacio de características.</w:t>
      </w:r>
    </w:p>
    <w:p w14:paraId="4C44ADEA" w14:textId="77777777" w:rsidR="001D7761" w:rsidRPr="001D7761" w:rsidRDefault="001D7761" w:rsidP="001D7761">
      <w:pPr>
        <w:rPr>
          <w:sz w:val="22"/>
          <w:szCs w:val="22"/>
        </w:rPr>
      </w:pPr>
    </w:p>
    <w:p w14:paraId="1F9894FE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Métrica de evaluación</w:t>
      </w:r>
    </w:p>
    <w:p w14:paraId="3B98A978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lastRenderedPageBreak/>
        <w:t>La métrica principal seleccionada será el F1-Score Ponderado (</w:t>
      </w:r>
      <w:proofErr w:type="spellStart"/>
      <w:r w:rsidRPr="001D7761">
        <w:rPr>
          <w:sz w:val="22"/>
          <w:szCs w:val="22"/>
        </w:rPr>
        <w:t>Weighted</w:t>
      </w:r>
      <w:proofErr w:type="spellEnd"/>
      <w:r w:rsidRPr="001D7761">
        <w:rPr>
          <w:sz w:val="22"/>
          <w:szCs w:val="22"/>
        </w:rPr>
        <w:t xml:space="preserve"> F1-Score) y el F1-Score por clase (enfocado en la clase minoritaria "Desertor"). Se justifica esta elección debido a que la deserción suele representar una proporción menor en los datos en comparación con los estudiantes que continúan o se gradúan; optimizar únicamente el </w:t>
      </w:r>
      <w:proofErr w:type="spellStart"/>
      <w:r w:rsidRPr="001D7761">
        <w:rPr>
          <w:i/>
          <w:iCs/>
          <w:sz w:val="22"/>
          <w:szCs w:val="22"/>
        </w:rPr>
        <w:t>Accuracy</w:t>
      </w:r>
      <w:proofErr w:type="spellEnd"/>
      <w:r w:rsidRPr="001D7761">
        <w:rPr>
          <w:sz w:val="22"/>
          <w:szCs w:val="22"/>
        </w:rPr>
        <w:t xml:space="preserve"> (exactitud) generaría una ilusión de buen rendimiento ignorando los falsos negativos (estudiantes en riesgo no detectados).</w:t>
      </w:r>
    </w:p>
    <w:p w14:paraId="6AAA2839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Estrategia de validación</w:t>
      </w:r>
    </w:p>
    <w:p w14:paraId="1CD6056D" w14:textId="77777777" w:rsidR="001D7761" w:rsidRPr="001D7761" w:rsidRDefault="001D7761" w:rsidP="001D7761">
      <w:pPr>
        <w:rPr>
          <w:sz w:val="22"/>
          <w:szCs w:val="22"/>
        </w:rPr>
      </w:pPr>
      <w:r w:rsidRPr="001D7761">
        <w:rPr>
          <w:sz w:val="22"/>
          <w:szCs w:val="22"/>
        </w:rPr>
        <w:t>Se implementará un esquema de Validación Cruzada Anidada (</w:t>
      </w:r>
      <w:proofErr w:type="spellStart"/>
      <w:r w:rsidRPr="001D7761">
        <w:rPr>
          <w:sz w:val="22"/>
          <w:szCs w:val="22"/>
        </w:rPr>
        <w:t>Nested</w:t>
      </w:r>
      <w:proofErr w:type="spellEnd"/>
      <w:r w:rsidRPr="001D7761">
        <w:rPr>
          <w:sz w:val="22"/>
          <w:szCs w:val="22"/>
        </w:rPr>
        <w:t xml:space="preserve"> Cross-</w:t>
      </w:r>
      <w:proofErr w:type="spellStart"/>
      <w:r w:rsidRPr="001D7761">
        <w:rPr>
          <w:sz w:val="22"/>
          <w:szCs w:val="22"/>
        </w:rPr>
        <w:t>Validation</w:t>
      </w:r>
      <w:proofErr w:type="spellEnd"/>
      <w:r w:rsidRPr="001D7761">
        <w:rPr>
          <w:sz w:val="22"/>
          <w:szCs w:val="22"/>
        </w:rPr>
        <w:t xml:space="preserve">) o partición estricta de entrenamiento, validación y prueba (70%, 15%, 15%). El preprocesamiento (escalado, imputación y codificación) se encapsulará dentro de objetos Pipeline de </w:t>
      </w:r>
      <w:proofErr w:type="spellStart"/>
      <w:r w:rsidRPr="001D7761">
        <w:rPr>
          <w:sz w:val="22"/>
          <w:szCs w:val="22"/>
        </w:rPr>
        <w:t>Scikit-Learn</w:t>
      </w:r>
      <w:proofErr w:type="spellEnd"/>
      <w:r w:rsidRPr="001D7761">
        <w:rPr>
          <w:sz w:val="22"/>
          <w:szCs w:val="22"/>
        </w:rPr>
        <w:t>, ajustando los transformadores únicamente con los pliegues de entrenamiento de cada iteración para garantizar la ausencia total de fuga de datos (</w:t>
      </w:r>
      <w:r w:rsidRPr="001D7761">
        <w:rPr>
          <w:i/>
          <w:iCs/>
          <w:sz w:val="22"/>
          <w:szCs w:val="22"/>
        </w:rPr>
        <w:t xml:space="preserve">data </w:t>
      </w:r>
      <w:proofErr w:type="spellStart"/>
      <w:r w:rsidRPr="001D7761">
        <w:rPr>
          <w:i/>
          <w:iCs/>
          <w:sz w:val="22"/>
          <w:szCs w:val="22"/>
        </w:rPr>
        <w:t>leakage</w:t>
      </w:r>
      <w:proofErr w:type="spellEnd"/>
      <w:r w:rsidRPr="001D7761">
        <w:rPr>
          <w:sz w:val="22"/>
          <w:szCs w:val="22"/>
        </w:rPr>
        <w:t xml:space="preserve">). </w:t>
      </w:r>
    </w:p>
    <w:p w14:paraId="599ADD98" w14:textId="77777777" w:rsidR="001D7761" w:rsidRPr="001D7761" w:rsidRDefault="001D7761" w:rsidP="001D7761">
      <w:pPr>
        <w:rPr>
          <w:b/>
          <w:bCs/>
          <w:sz w:val="22"/>
          <w:szCs w:val="22"/>
        </w:rPr>
      </w:pPr>
      <w:r w:rsidRPr="001D7761">
        <w:rPr>
          <w:b/>
          <w:bCs/>
          <w:sz w:val="22"/>
          <w:szCs w:val="22"/>
        </w:rPr>
        <w:t>Línea base (</w:t>
      </w:r>
      <w:proofErr w:type="spellStart"/>
      <w:r w:rsidRPr="001D7761">
        <w:rPr>
          <w:b/>
          <w:bCs/>
          <w:sz w:val="22"/>
          <w:szCs w:val="22"/>
        </w:rPr>
        <w:t>Baseline</w:t>
      </w:r>
      <w:proofErr w:type="spellEnd"/>
      <w:r w:rsidRPr="001D7761">
        <w:rPr>
          <w:b/>
          <w:bCs/>
          <w:sz w:val="22"/>
          <w:szCs w:val="22"/>
        </w:rPr>
        <w:t>)</w:t>
      </w:r>
    </w:p>
    <w:p w14:paraId="3D7F3BE8" w14:textId="4E7F2D1B" w:rsidR="00483FAF" w:rsidRPr="001D7761" w:rsidRDefault="001D7761">
      <w:pPr>
        <w:rPr>
          <w:sz w:val="22"/>
          <w:szCs w:val="22"/>
        </w:rPr>
      </w:pPr>
      <w:r w:rsidRPr="001D7761">
        <w:rPr>
          <w:sz w:val="22"/>
          <w:szCs w:val="22"/>
        </w:rPr>
        <w:t xml:space="preserve">Como referencia mínima de comparación se construirá un modelo de línea base sencillo (un clasificador de regla de mayoría o una Regresión Logística básica con preprocesamiento estándar sin optimización de </w:t>
      </w:r>
      <w:proofErr w:type="spellStart"/>
      <w:r w:rsidRPr="001D7761">
        <w:rPr>
          <w:sz w:val="22"/>
          <w:szCs w:val="22"/>
        </w:rPr>
        <w:t>hiperparámetros</w:t>
      </w:r>
      <w:proofErr w:type="spellEnd"/>
      <w:r w:rsidRPr="001D7761">
        <w:rPr>
          <w:sz w:val="22"/>
          <w:szCs w:val="22"/>
        </w:rPr>
        <w:t>). Cualquier modelo avanzado seleccionado deberá superar de manera estadísticamente significativa el desempeño de esta línea base.</w:t>
      </w:r>
    </w:p>
    <w:sectPr w:rsidR="00483FAF" w:rsidRPr="001D7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2433"/>
    <w:multiLevelType w:val="multilevel"/>
    <w:tmpl w:val="ED9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0A4"/>
    <w:multiLevelType w:val="multilevel"/>
    <w:tmpl w:val="0C7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6579"/>
    <w:multiLevelType w:val="multilevel"/>
    <w:tmpl w:val="518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07CD"/>
    <w:multiLevelType w:val="multilevel"/>
    <w:tmpl w:val="E4E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303F"/>
    <w:multiLevelType w:val="multilevel"/>
    <w:tmpl w:val="308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D3D5E"/>
    <w:multiLevelType w:val="multilevel"/>
    <w:tmpl w:val="155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C54CF"/>
    <w:multiLevelType w:val="multilevel"/>
    <w:tmpl w:val="936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C6D81"/>
    <w:multiLevelType w:val="multilevel"/>
    <w:tmpl w:val="760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4C51"/>
    <w:multiLevelType w:val="multilevel"/>
    <w:tmpl w:val="195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D1C85"/>
    <w:multiLevelType w:val="multilevel"/>
    <w:tmpl w:val="FB6A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6B27C5"/>
    <w:multiLevelType w:val="multilevel"/>
    <w:tmpl w:val="BE9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7F32"/>
    <w:multiLevelType w:val="multilevel"/>
    <w:tmpl w:val="C6A6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46064B"/>
    <w:multiLevelType w:val="hybridMultilevel"/>
    <w:tmpl w:val="22D492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15822"/>
    <w:multiLevelType w:val="multilevel"/>
    <w:tmpl w:val="A2A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D415F"/>
    <w:multiLevelType w:val="multilevel"/>
    <w:tmpl w:val="51F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F5C5C"/>
    <w:multiLevelType w:val="hybridMultilevel"/>
    <w:tmpl w:val="04D01C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452454"/>
    <w:multiLevelType w:val="multilevel"/>
    <w:tmpl w:val="B86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74792">
    <w:abstractNumId w:val="3"/>
  </w:num>
  <w:num w:numId="2" w16cid:durableId="861864273">
    <w:abstractNumId w:val="5"/>
  </w:num>
  <w:num w:numId="3" w16cid:durableId="810756133">
    <w:abstractNumId w:val="8"/>
  </w:num>
  <w:num w:numId="4" w16cid:durableId="459152112">
    <w:abstractNumId w:val="9"/>
  </w:num>
  <w:num w:numId="5" w16cid:durableId="79374054">
    <w:abstractNumId w:val="2"/>
  </w:num>
  <w:num w:numId="6" w16cid:durableId="1227106902">
    <w:abstractNumId w:val="16"/>
  </w:num>
  <w:num w:numId="7" w16cid:durableId="1920557448">
    <w:abstractNumId w:val="11"/>
  </w:num>
  <w:num w:numId="8" w16cid:durableId="1114516165">
    <w:abstractNumId w:val="12"/>
  </w:num>
  <w:num w:numId="9" w16cid:durableId="1377773389">
    <w:abstractNumId w:val="15"/>
  </w:num>
  <w:num w:numId="10" w16cid:durableId="1389841927">
    <w:abstractNumId w:val="4"/>
  </w:num>
  <w:num w:numId="11" w16cid:durableId="1576233691">
    <w:abstractNumId w:val="6"/>
  </w:num>
  <w:num w:numId="12" w16cid:durableId="720517783">
    <w:abstractNumId w:val="7"/>
  </w:num>
  <w:num w:numId="13" w16cid:durableId="260647705">
    <w:abstractNumId w:val="0"/>
  </w:num>
  <w:num w:numId="14" w16cid:durableId="1867407668">
    <w:abstractNumId w:val="1"/>
  </w:num>
  <w:num w:numId="15" w16cid:durableId="1809975682">
    <w:abstractNumId w:val="10"/>
  </w:num>
  <w:num w:numId="16" w16cid:durableId="168714488">
    <w:abstractNumId w:val="14"/>
  </w:num>
  <w:num w:numId="17" w16cid:durableId="1290547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AF"/>
    <w:rsid w:val="001416AF"/>
    <w:rsid w:val="001D7761"/>
    <w:rsid w:val="00483FAF"/>
    <w:rsid w:val="00DC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626F"/>
  <w15:chartTrackingRefBased/>
  <w15:docId w15:val="{6EE7F025-66EB-4286-873F-F76DF58F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F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1562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Bloque I</dc:creator>
  <cp:keywords/>
  <dc:description/>
  <cp:lastModifiedBy>Salones Bloque I</cp:lastModifiedBy>
  <cp:revision>1</cp:revision>
  <dcterms:created xsi:type="dcterms:W3CDTF">2026-09-21T12:45:00Z</dcterms:created>
  <dcterms:modified xsi:type="dcterms:W3CDTF">2026-09-21T13:25:00Z</dcterms:modified>
</cp:coreProperties>
</file>