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세계-상태 처리 장치(WPU) 연구의 이론적 및 실무적 타당성 분석: "State Is All You Need" 논문에 대한 비판적 평가 보고서</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2026년 5월 8일 발표된 연구 프로토타입 "State Is All You Need: Toward World-State Processing Units"는 현대 딥러닝의 근간을 이루는 토큰 시퀀스 패러다임에 정면으로 도전하며, 인위적인 시퀀스 처리가 아닌 '상태(State)' 자체를 연산의 기본 단위로 삼는 새로운 하드웨어 및 소프트웨어 추상화를 제안하고 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본 보고서는 해당 논문이 제시한 세계-상태 처리 장치(World-State Processing Unit, WPU)의 설계 철학, 수학적 공식화, 실험적 결과 및 한계점을 컴퓨터 아키텍처 및 인공지능 모델링 전문가의 시각에서 객관적으로 평가한다. 특히 이 논문이 기존의 트랜스포머(Transformer) 기반 월드 모델들과 비교하여 어떤 혁신성을 갖는지, 그리고 실무적 적용을 위해 반드시 보완되어야 할 치명적인 결함은 무엇인지에 대해 심층적인 분석을 제공한다.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패러다임의 전환: 토큰에서 상태로의 이행</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현대 생성형 AI의 지배적인 아키텍처는 모든 데이터를 선형적인 토큰 시퀀스로 변환하여 처리하는 방식에 의존하고 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그러나 이 논문은 물리적 세계나 복잡한 시뮬레이션 환경이 본질적으로 '상태'로서 존재하며, 이를 토큰으로 직렬화(Serialization)하는 과정에서 객체 정체성(Object Identity), 인과적 국소성(Causal Locality), 그리고 상태의 지속성(Persistence)과 같은 핵심적인 운영 불변량이 상실된다는 점을 지적한다.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WPU의 핵심 명제는 "세계 처리는 시퀀스를 이어가는 문제가 아니라, 부분적인 관측 하에서 변화하는 상태를 유지하는 문제"라는 것이다.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이는 단순히 데이터 포맷의 변경을 의미하는 것이 아니라, 연산 프리미티브(Computational Primitive) 자체를 재정의하려는 시도이다. 기존의 트랜스포머가 특정 위치(Position)에서 정보를 검색하는 '어텐션(Attention)'에 집중했다면, WPU는 상태 변화의 결과가 인과 관계를 타고 번져나가는 '전파(Propagation)'를 중심 연산으로 설정한다.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1.1 토큰-상태 비등가성 주장의 타당성</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논문은 토큰 시퀀스가 상태를 기술할 수는 있지만, 상태 그 자체가 될 수는 없다고 주장한다.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예를 들어, 컵이 테이블 위에 있다는 사실을 텍스트나 임베딩 시퀀스로 표현할 수 있지만, 이러한 직렬화된 데이터는 데이터베이스의 인덱스 업데이트나 그래프의 노드 수정과 같은 '상태 기반 연산'을 직접적으로 지원하지 않는다.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이러한 주장은 2026년 현재의 기술적 난제인 '메모리 벽(Memory Wall)' 문제와도 맞닿아 있다. 추론 시 발생하는 KV 캐시의 급격한 증가와 이를 관리하기 위한 연산 비용은 토큰 중심 아키텍처의 고질적인 한계로 지목되어 왔다.</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 WPU는 상태를 직접 관리함으로써 불필요한 재연산을 줄이고, 변경된 부분만을 업데이트하는 '패치/전파(Patch/Propagate)' 메커니즘을 통해 이 문제를 해결하고자 한다.</w:t>
      </w:r>
      <w:r w:rsidDel="00000000" w:rsidR="00000000" w:rsidRPr="00000000">
        <w:rPr>
          <w:rFonts w:ascii="Arial" w:cs="Arial" w:eastAsia="Arial" w:hAnsi="Arial"/>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비교 항목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토큰 시퀀스 기반 (LPU/GPU)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세계-상태 기반 (WPU)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기본 단위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위치 기반 임베딩 (Position Embedding)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객체, 관계, 믿음 (Object/Relation/Belief)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메모리 업데이트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추가(Append) 또는 전체 재작성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기존 상태에 대한 패치(Patch) 및 델타 업데이트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관계 표현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어텐션 메커니즘을 통한 암시적 추론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타입화된 엣지(Typed Edge)를 통한 명시적 저장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미래 예측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시퀀스의 지속(Continuation)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공유된 상태 위의 브랜치 오버레이(Branch Overlay)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주요 목표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다음 토큰 예측 (Next Token Prediction)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다음 상태 및 인과적 델타 예측</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상기 표에서 볼 수 있듯이, WPU는 데이터의 구조적 특성을 연산 계층에서 직접적으로 보존하려 한다는 점에서 기존 가속기들과 차별화된다.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이는 단순한 소프트웨어 라이브러리 수준의 구현이 아닌, 워크로드 정의 자체를 상태 유지로 최적화한 하드웨어 추상화를 지향하고 있다.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수학적 모델링 및 전파 규칙의 평가</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WPU의 기술적 핵심은 세계 상태 </w:t>
      </w:r>
      <w:r w:rsidDel="00000000" w:rsidR="00000000" w:rsidRPr="00000000">
        <w:rPr>
          <w:rFonts w:ascii="Arial" w:cs="Arial" w:eastAsia="Arial" w:hAnsi="Arial"/>
          <w:color w:val="1f1f1f"/>
        </w:rPr>
        <w:drawing>
          <wp:inline distB="19050" distT="19050" distL="19050" distR="19050">
            <wp:extent cx="3124067" cy="183769"/>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124067" cy="18376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관계 그래프 </w:t>
      </w:r>
      <w:r w:rsidDel="00000000" w:rsidR="00000000" w:rsidRPr="00000000">
        <w:rPr>
          <w:rFonts w:ascii="Arial" w:cs="Arial" w:eastAsia="Arial" w:hAnsi="Arial"/>
          <w:color w:val="1f1f1f"/>
        </w:rPr>
        <w:drawing>
          <wp:inline distB="19050" distT="19050" distL="19050" distR="19050">
            <wp:extent cx="212218" cy="22685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2218" cy="22685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시간적 기억 </w:t>
      </w:r>
      <w:r w:rsidDel="00000000" w:rsidR="00000000" w:rsidRPr="00000000">
        <w:rPr>
          <w:rFonts w:ascii="Arial" w:cs="Arial" w:eastAsia="Arial" w:hAnsi="Arial"/>
          <w:color w:val="1f1f1f"/>
        </w:rPr>
        <w:drawing>
          <wp:inline distB="19050" distT="19050" distL="19050" distR="19050">
            <wp:extent cx="156324" cy="230764"/>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6324" cy="23076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그리고 불확실성 $\mathcal{P}_{t}$의 튜플로 정의한 데 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이를 바탕으로 제안된 전파 규칙은 물리적 세계의 국소적 인과율을 모방하도록 설계되었다.</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전파 연산의 공식화 및 물리적 편향</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전파 연산은 다음과 같은 수식으로 정의된다:</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4819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05500" cy="54819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 식에서 객체 $o_{i}$의 다음 상태는 현재 자신의 상태, 발생한 이벤트 </w:t>
      </w:r>
      <w:r w:rsidDel="00000000" w:rsidR="00000000" w:rsidRPr="00000000">
        <w:rPr>
          <w:rFonts w:ascii="Arial" w:cs="Arial" w:eastAsia="Arial" w:hAnsi="Arial"/>
          <w:color w:val="1f1f1f"/>
        </w:rPr>
        <w:drawing>
          <wp:inline distB="19050" distT="19050" distL="19050" distR="19050">
            <wp:extent cx="141773" cy="23392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1773" cy="23392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그리고 인접 노드 </w:t>
      </w:r>
      <w:r w:rsidDel="00000000" w:rsidR="00000000" w:rsidRPr="00000000">
        <w:rPr>
          <w:rFonts w:ascii="Arial" w:cs="Arial" w:eastAsia="Arial" w:hAnsi="Arial"/>
          <w:color w:val="1f1f1f"/>
        </w:rPr>
        <w:drawing>
          <wp:inline distB="19050" distT="19050" distL="19050" distR="19050">
            <wp:extent cx="2577265" cy="183586"/>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577265" cy="18358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)의 가중합에 의해 결정된다.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여기서 함수 $f_{\theta}$와 $g_{\theta}$는 학습 가능한 파라미터로, 단순한 물리 법칙을 넘어서는 복잡한 인과 관계를 학습할 수 있도록 설계되었다.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 연산은 물리적 국소성(Locality)을 연산의 기본 가이드라인으로 삼는다는 점에서 유의미한 시도이다. 논문은 이를 '단순화된 물리적 사전 지식(Simplified Local-Physics Prior)'이라 부르며, 접촉 힘, 가림 현상, 신호 흐름 등이 작은 집합에서 시작하여 주변으로 퍼져나가는 실제 물리 현상의 특성을 잘 반영하고 있다고 주장한다.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이는 모든 객체 간의 관계를 무차별적으로 계산하는 전역 어텐션(Global Attention)에 비해 계산 효율성 측면에서 압도적인 우위를 가질 수 있는 기반이 된다.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희소-밀집 교차 메트릭(Sparse-Dense Crossover Metric)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WPU의 가장 독창적인 기여 중 하나는 연산 경로를 결정하기 위한 '영향을 받는 비율(</w:t>
      </w:r>
      <w:r w:rsidDel="00000000" w:rsidR="00000000" w:rsidRPr="00000000">
        <w:rPr>
          <w:rFonts w:ascii="Arial" w:cs="Arial" w:eastAsia="Arial" w:hAnsi="Arial"/>
          <w:color w:val="1f1f1f"/>
        </w:rPr>
        <w:drawing>
          <wp:inline distB="19050" distT="19050" distL="19050" distR="19050">
            <wp:extent cx="95360" cy="242069"/>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5360" cy="24206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메트릭의 도입이다.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503338"/>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05500" cy="50333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여기서 </w:t>
      </w:r>
      <w:r w:rsidDel="00000000" w:rsidR="00000000" w:rsidRPr="00000000">
        <w:rPr>
          <w:rFonts w:ascii="Arial" w:cs="Arial" w:eastAsia="Arial" w:hAnsi="Arial"/>
          <w:color w:val="1f1f1f"/>
        </w:rPr>
        <w:drawing>
          <wp:inline distB="19050" distT="19050" distL="19050" distR="19050">
            <wp:extent cx="168121" cy="231166"/>
            <wp:effectExtent b="0" l="0" r="0" t="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68121" cy="2311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은 전체 객체 수, </w:t>
      </w:r>
      <w:r w:rsidDel="00000000" w:rsidR="00000000" w:rsidRPr="00000000">
        <w:rPr>
          <w:rFonts w:ascii="Arial" w:cs="Arial" w:eastAsia="Arial" w:hAnsi="Arial"/>
          <w:color w:val="1f1f1f"/>
        </w:rPr>
        <w:drawing>
          <wp:inline distB="19050" distT="19050" distL="19050" distR="19050">
            <wp:extent cx="321799" cy="235986"/>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21799" cy="23598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은 이벤트에 의해 초기 변화가 발생한 객체 수, </w:t>
      </w:r>
      <w:r w:rsidDel="00000000" w:rsidR="00000000" w:rsidRPr="00000000">
        <w:rPr>
          <w:rFonts w:ascii="Arial" w:cs="Arial" w:eastAsia="Arial" w:hAnsi="Arial"/>
          <w:color w:val="1f1f1f"/>
        </w:rPr>
        <w:drawing>
          <wp:inline distB="19050" distT="19050" distL="19050" distR="19050">
            <wp:extent cx="101864" cy="240108"/>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01864" cy="24010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는 관계의 평균 연결도(Fanout), </w:t>
      </w:r>
      <w:r w:rsidDel="00000000" w:rsidR="00000000" w:rsidRPr="00000000">
        <w:rPr>
          <w:rFonts w:ascii="Arial" w:cs="Arial" w:eastAsia="Arial" w:hAnsi="Arial"/>
          <w:color w:val="1f1f1f"/>
        </w:rPr>
        <w:drawing>
          <wp:inline distB="19050" distT="19050" distL="19050" distR="19050">
            <wp:extent cx="106274" cy="250504"/>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06274" cy="25050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는 전파 깊이, </w:t>
      </w:r>
      <w:r w:rsidDel="00000000" w:rsidR="00000000" w:rsidRPr="00000000">
        <w:rPr>
          <w:rFonts w:ascii="Arial" w:cs="Arial" w:eastAsia="Arial" w:hAnsi="Arial"/>
          <w:color w:val="1f1f1f"/>
        </w:rPr>
        <w:drawing>
          <wp:inline distB="19050" distT="19050" distL="19050" distR="19050">
            <wp:extent cx="149159" cy="234392"/>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49159" cy="23439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는 고려하는 미래의 브랜치 수이다.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 메트릭은 WPU가 언제 희소(Sparse) 전파를 수행하고, 언제 밀집(Dense) 재계산으로 전환해야 하는지를 결정하는 기준이 된다.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논문은 </w:t>
      </w:r>
      <w:r w:rsidDel="00000000" w:rsidR="00000000" w:rsidRPr="00000000">
        <w:rPr>
          <w:rFonts w:ascii="Arial" w:cs="Arial" w:eastAsia="Arial" w:hAnsi="Arial"/>
          <w:color w:val="1f1f1f"/>
        </w:rPr>
        <w:drawing>
          <wp:inline distB="19050" distT="19050" distL="19050" distR="19050">
            <wp:extent cx="474375" cy="233648"/>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74375" cy="23364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인 상황에서 WPU의 희소 업데이트 연산량이 $O(\Delta N k^h B)$에 불과하며, 이는 전역 어텐션의 </w:t>
      </w:r>
      <w:r w:rsidDel="00000000" w:rsidR="00000000" w:rsidRPr="00000000">
        <w:rPr>
          <w:rFonts w:ascii="Arial" w:cs="Arial" w:eastAsia="Arial" w:hAnsi="Arial"/>
          <w:color w:val="1f1f1f"/>
        </w:rPr>
        <w:drawing>
          <wp:inline distB="19050" distT="19050" distL="19050" distR="19050">
            <wp:extent cx="531151" cy="233707"/>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31151" cy="23370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또는 밀집 처리의 $O(N)$보다 훨씬 효율적임을 수학적으로 증명한다.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이러한 조건부 성능 명제는 WPU의 이점이 보편적인 것이 아니라 특정 워크로드에 의존적임을 명시함으로써, 연구의 과학적 정직성과 허위 가능성(Falsifiability)을 동시에 확보하고 있다.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아키텍처 설계의 혁신성 및 실무적 가치</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WPU 아키텍처는 상태 메모리, 프런티어 생성기, 전파 코어, 밀집 폴백(Dense Fallback), 브랜치 관리자의 5가지 구성 요소로 이루어져 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이는 단순히 계산 속도를 높이는 것을 넘어, 세계 모델이 직면한 메모리 관리와 불확실성 처리 문제를 시스템 수준에서 해결하려는 시도이다.</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브랜치 메모리 관리의 효율성</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미래의 불확실성을 모델링할 때, 기존 시스템은 각 가능성마다 전체 상태의 복사본을 생성해야 하는 메모리 낭비 문제에 직면한다.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WPU는 이를 '브랜치 델타(Branch Delta)' 방식을 통해 해결한다. 공유된 기초 상태(Base State) 위에 각 미래 브랜치마다의 차이점만을 오버레이로 저장함으로써, 메모리 복잡도를 $O(BN)$에서 $O(N + B\Delta)$로 획기적으로 낮추었다.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이러한 설계는 2026년의 주요 연구 트렌드인 '에이전틱 AI(Agentic AI)' 및 '다중 가설 추론' 분야에서 매우 높은 가치를 지닌다.</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 자율주행 차량이 수십 개의 잠재적 경로를 시뮬레이션하거나 로봇이 조작 실패의 가능성을 고려할 때, WPU의 브랜치 오버레이 구조는 실시간 처리를 가능하게 하는 핵심 인프라가 될 수 있다.</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하드웨어-소프트웨어 공동 설계(Co-design)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WPU는 단순한 모델 구조를 넘어, 특정 하드웨어 부하를 정의하는 워크로드 정의서로서의 성격을 띤다.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이는 최근 등장한 RPU(Reasoning Processing Unit)가 메모리 대역폭과 연산 비중을 최적화하기 위해 칩렛 아키텍처를 도입한 것과 궤를 같이한다.</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아키텍처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핵심 최적화 지점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WPU와의 비교 포인트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RPU (Reasoning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메모리 대역폭 우선 설계, 칩렛 기반 통합 </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전파 연산을 위한 분산 메모리 접근 구조의 필요성 강조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LPU (Language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토큰 생성 속도 및 확정적 지연 시간 </w:t>
            </w: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상태 업데이트를 위한 델타 로깅 및 브랜칭 기능 부족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WPU (World-State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인과적 전파 및 브랜치 오버레이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상태 지속성 및 국소적 변화 업데이트에 최적화</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WPU는 밀집 행렬 연산에 최적화된 기존 GPU나 TPU와 달리, 그래프 기반의 비정형 메모리 접근과 인접 노드 간의 통신 효율성을 극대화하는 방향으로 설계되어야 함을 암시한다.</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 이는 향후 AI 가속기 시장이 단순한 '토큰 생성기'에서 벗어나 '세계 시뮬레이터'로 진화할 것임을 예고하는 지표이다.</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장점 및 기여도 분석</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본 논문의 가장 큰 장점은 현대 AI의 고질적인 문제인 '상태 유지의 부재'를 정면으로 돌파했다는 점이다.</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연산 효율성의 극대화:</w:t>
      </w:r>
      <w:r w:rsidDel="00000000" w:rsidR="00000000" w:rsidRPr="00000000">
        <w:rPr>
          <w:rFonts w:ascii="Arial Unicode MS" w:cs="Arial Unicode MS" w:eastAsia="Arial Unicode MS" w:hAnsi="Arial Unicode MS"/>
          <w:color w:val="1f1f1f"/>
          <w:rtl w:val="0"/>
        </w:rPr>
        <w:t xml:space="preserve"> 희소 전파를 통해 전역적인 재연산을 피함으로써, 대규모 환경에서도 국소적 변화를 실시간으로 처리할 수 있는 수학적 근거를 마련했다.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물리적 사전 지식의 통합:</w:t>
      </w:r>
      <w:r w:rsidDel="00000000" w:rsidR="00000000" w:rsidRPr="00000000">
        <w:rPr>
          <w:rFonts w:ascii="Arial Unicode MS" w:cs="Arial Unicode MS" w:eastAsia="Arial Unicode MS" w:hAnsi="Arial Unicode MS"/>
          <w:color w:val="1f1f1f"/>
          <w:rtl w:val="0"/>
        </w:rPr>
        <w:t xml:space="preserve"> 인과 관계를 그래프 구조에 직접 내재화함으로써, 모델이 물리 법칙을 처음부터 다시 학습해야 하는 부담을 줄였다.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불확실성 처리의 체계화:</w:t>
      </w:r>
      <w:r w:rsidDel="00000000" w:rsidR="00000000" w:rsidRPr="00000000">
        <w:rPr>
          <w:rFonts w:ascii="Arial Unicode MS" w:cs="Arial Unicode MS" w:eastAsia="Arial Unicode MS" w:hAnsi="Arial Unicode MS"/>
          <w:color w:val="1f1f1f"/>
          <w:rtl w:val="0"/>
        </w:rPr>
        <w:t xml:space="preserve"> 브랜치 델타를 일급 구성 요소(First-class component)로 취급하여, 복잡한 미래 시뮬레이션을 저비용으로 수행할 수 있는 아키텍처를 제시했다.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투명한 성능 명제:</w:t>
      </w:r>
      <w:r w:rsidDel="00000000" w:rsidR="00000000" w:rsidRPr="00000000">
        <w:rPr>
          <w:rFonts w:ascii="Arial Unicode MS" w:cs="Arial Unicode MS" w:eastAsia="Arial Unicode MS" w:hAnsi="Arial Unicode MS"/>
          <w:color w:val="1f1f1f"/>
          <w:rtl w:val="0"/>
        </w:rPr>
        <w:t xml:space="preserve"> 어떤 상황에서 WPU가 유리하고 불리한지를 명확한 메트릭(</w:t>
      </w:r>
      <w:r w:rsidDel="00000000" w:rsidR="00000000" w:rsidRPr="00000000">
        <w:rPr>
          <w:rFonts w:ascii="Arial" w:cs="Arial" w:eastAsia="Arial" w:hAnsi="Arial"/>
          <w:color w:val="1f1f1f"/>
        </w:rPr>
        <w:drawing>
          <wp:inline distB="19050" distT="19050" distL="19050" distR="19050">
            <wp:extent cx="95360" cy="242069"/>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5360" cy="24206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)으로 정의함으로써, 후속 연구자들이 이를 정량적으로 검증하고 보완할 수 있는 토대를 구축했다.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이러한 기여는 특히 로보틱스, 디지털 트윈, 그리고 복잡한 상호작용이 발생하는 자율 시스템 분야에서 기존의 토큰 기반 모델들이 가진 한계를 극복할 수 있는 실질적인 대안을 제시한다.</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단점 및 비판적 검토: 무엇이 문제인가?</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 논문의 혁신적인 주장에도 불구하고, 객관적인 평가 관점에서 몇 가지 심각한 약점과 문제점이 발견된다.</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5.1 고정된 객체 구조에 대한 의존성 (상태 발견의 부재)</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가장 큰 문제는 WPU가 이미 완벽하게 구조화된 상태(객체 집합 및 관계 그래프)가 존재한다고 가정한다는 점이다.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실제 환경에서 로봇의 센서 데이터는 가공되지 않은 픽셀이나 포인트 클라우드 형태로 들어온다.</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논문은 "토큰은 증거의 운반체"라고 언급하면서도, 이 가공되지 않은 증거로부터 어떻게 '객체'를 식별하고 '관계'를 구축하는지에 대한 구체적인 메커니즘을 제시하지 않았다.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이는 최근 연구들이 슬롯 어텐션(Slot Attention)이나 비지도 객체 발견(Unsupervised Object Discovery)을 통해 이미지로부터 객체를 분리해내려는 시도들과 비교했을 때, 아키텍처의 프런트엔드(Front-end) 부분이 결여되어 있음을 의미한다.</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 즉, WPU는 현재 상태에서는 '처리기'일 뿐, 스스로 세계를 이해하는 '모델'로서의 기능은 불완전하다.</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5.2 실험 규모의 영세성과 결과의 혼재</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제안된 아키텍처의 거창한 목표에 비해, 검증에 사용된 실험은 '로봇-컵 물리 작업'이라는 매우 협소하고 인위적인 환경에 국한되어 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특히 표 5에서 보여주는 결과는 WPU의 우월성에 의구심을 갖게 만든다.</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모델 유형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N=4 (소규모) 정확도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N=24 (중규모) 정확도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N=84 (대규모) 정확도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WPU 하이브리드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0.7812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0.7969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0.7969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직렬화된 토큰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0.5625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0.6641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0.7891</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실험 결과에 따르면, 객체 수가 늘어날수록(N=84) 단순한 트랜스포머 기반의 '직렬화된 토큰' 모델이 WPU의 하이브리드 성능에 거의 근접하거나 추월하려는 경향을 보인다.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이는 객체 간의 복잡한 상호작용이 늘어날수록 WPU가 제안한 '국소적 전파'가 트랜스포머의 '전역적 어텐션'이 갖는 패턴 매칭 능력을 압도하지 못한다는 신호로 해석될 수 있다.</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 논문은 이러한 교차 현상에 대해 "영역 가설(Regime Hypothesis)"을 지지한다고 언급하며 정면 돌파를 시도하지만, 이는 WPU의 범용성에 대한 과도한 주장을 스스로 약화시키는 결과를 초래한다.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5.3 기존 연구의 답습 및 차별화 부족</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WPU가 제시한 '전파' 연산은 기존의 그래프 신경망(GNN)이나 그래프 트랜스포머(Graph Transformer)에서 오랫동안 연구되어 온 '메시지 패싱(Message Passing)'과 개념적으로 거의 동일하다.</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 논문은 이를 하드웨어 추상화로 격상시켰다고 주장하지만, 수학적 공식 차원에서는 혁신적인 새로움을 찾기 어렵다.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특히 '상태 기반의 월드 모델' 개념은 2018년 Ha와 Schmidhuber의 연구 이후 수많은 변형이 존재해 왔으며, WPU가 이들과 하드웨어 최적화 이외에 알고리즘적으로 어떤 본질적인 차이를 갖는지가 명확하지 않다.</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과한 주장 및 놓친 부분에 대한 지적</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논문은 몇 가지 지점에서 데이터로 뒷받침되지 않는 과감한 주장을 펼치고 있다.</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6.1 "State Is All You Need"라는 제목의 도발성</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논문의 제목은 Vaswani 등의 "Attention Is All You Need"를 오마주하고 있으나, 실제 내용상으로는 어텐션의 유효성을 완전히 부정하지 못하고 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논문 도처에서 "어텐션은 여전히 유용하며 밀집 폴백 경로에서 사용된다"고 명시하고 있는데, 이는 제목이 시사하는 "상태만 있으면 충분하다"는 선언과 배치된다.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이는 학문적 엄밀함보다는 마케팅적인 수사에 치중한 제목 선정으로 비춰질 수 있다.</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6.2 물리적 정확성에 대한 과대평가</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전파 규칙을 "뉴턴 역학에 비견되는 사전 지식"으로 묘사한 부분은 과한 비유이다.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실제 물리 세계는 비국소적 상호작용(Non-local interaction)과 유체 역학처럼 인과 관계를 그래프로 단순화하기 어려운 현상들로 가득 차 있다.</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 WPU의 전파 모델은 강체(Rigid Body) 간의 단순한 충돌이나 접촉에는 유리할 수 있으나, 더 복잡한 물리 현상을 처리하기에는 여전히 표현력이 부족하다는 점을 간과하고 있다.</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6.3 보안 및 무결성 문제의 간과</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WPU는 상태를 직접 수정(Patch)하는 방식을 취한다. 이는 연산 효율적이지만, 잘못된 델타가 입력될 경우 시스템 전체의 상태가 오염되는 '상태 부패(State Corruption)'에 매우 취약하다.</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 기존의 토큰 기반 모델은 각 스텝이 독립적인 확률론적 예측이므로 오류가 누적되더라도 다음 생성에서 수정될 기회가 있지만, WPU처럼 영구적인 상태 기판에 패치를 적용하는 아키텍처에서는 오류의 전파가 치명적인 결과로 이어질 수 있다.</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 논문은 이러한 시스템적 안정성이나 보안 제어(Security Control) 측면의 고려를 완전히 놓치고 있다.</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반드시 보완해야 할 부분 (Mandatory Improvements)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본 연구가 프로토타입을 넘어 실질적인 영향력을 갖기 위해서는 다음과 같은 부분들이 반드시 보완되어야 한다.</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7.1 엔드-투-엔드 객체 추출 파이프라인 통합</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가장 시급한 보완 사항은 센서 데이터(픽셀, 포인트 등)로부터 WPU가 요구하는 구조화된 상태를 생성해내는 전처리 계층의 정의이다.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슬롯 어텐션 기반의 인코더나 세그멘테이션 모듈이 어떻게 WPU의 프런티어 생성기와 연결되는지를 명확히 해야 한다.</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 현재처럼 "상태가 주어졌다고 가정"하는 수준은 이론적 유희에 그칠 위험이 크다.</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7.2 실질적인 벤치마크 데이터셋으로의 확장</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합성 데이터인 '로봇-컵'을 넘어, Atari 100k, Safety-Gym, 혹은 실제 자율주행 데이터(예: Wayve의 GAIA-2/3 관련 데이터)에서의 성능 입증이 필요하다.</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 특히 객체 수 </w:t>
      </w:r>
      <w:r w:rsidDel="00000000" w:rsidR="00000000" w:rsidRPr="00000000">
        <w:rPr>
          <w:rFonts w:ascii="Arial" w:cs="Arial" w:eastAsia="Arial" w:hAnsi="Arial"/>
          <w:color w:val="1f1f1f"/>
        </w:rPr>
        <w:drawing>
          <wp:inline distB="19050" distT="19050" distL="19050" distR="19050">
            <wp:extent cx="168121" cy="231166"/>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68121" cy="2311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이 수천 개에 달하고 관계의 복잡도가 극도로 높은 환경에서도 여전히 희소 전파의 이점이 유효한지를 증명해야 한다.</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7.3 하이브리드 경로의 동적 스케줄링 알고리즘 구체화</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현재 논문은 </w:t>
      </w:r>
      <w:r w:rsidDel="00000000" w:rsidR="00000000" w:rsidRPr="00000000">
        <w:rPr>
          <w:rFonts w:ascii="Arial" w:cs="Arial" w:eastAsia="Arial" w:hAnsi="Arial"/>
          <w:color w:val="1f1f1f"/>
        </w:rPr>
        <w:drawing>
          <wp:inline distB="19050" distT="19050" distL="19050" distR="19050">
            <wp:extent cx="95360" cy="242069"/>
            <wp:effectExtent b="0" l="0" r="0" t="0"/>
            <wp:docPr id="1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5360" cy="24206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의 고정된 임계값(0.05, 0.25)에 따라 경로를 선택하고 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그러나 최적의 경로는 하드웨어의 현재 가용 자원, 지연 시간 요구사항, 그리고 예측의 중요도에 따라 동적으로 변해야 한다.</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 강화 학습을 기반으로 한 학습형 라우터(Learned Router)를 도입하여, 연산 비용과 예측 정확도 사이의 파레토 최적점을 실시간으로 찾는 메커니즘이 추가되어야 한다.</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7.4 상태 복구 및 롤백 메커니즘</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인과적 전파 과정에서 발생할 수 있는 오류를 탐지하고, 부패된 상태를 이전의 안정적인 지점으로 되돌리는 '어댑티브 롤백(Adaptive Rollback)'이나 체크포인트 메커니즘이 아키텍처에 포함되어야 한다.</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 xml:space="preserve"> 이는 영구적인 상태를 다루는 시스템에서 필수적인 안전 장치이다.</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 기존 기술 및 경쟁 아키텍처와의 비교 평가</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WPU는 2026년 현재 제안된 다양한 특수 목적 처리 장치들과 경쟁하거나 상호 보완적인 관계에 있다.</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장치명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설계 철학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WPU와의 시너지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한계점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RPU (Reasoning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추론 가속을 위한 칩렛 아키텍처 </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WPU의 복잡한 논리 전파를 위한 하드웨어 기반 제공 가능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고차원 물리 모델링보다는 기호 논리 처리에 치중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LPU (Language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대규모 언어 모델의 초고속 추론 </w:t>
            </w: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WPU의 상태 설명(State Description)을 텍스트로 변환하는 데 유용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'세계 상태'라는 영구적 메모리 기판 개념이 없음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NPU (Neural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엣지에서의 저전력 인코딩 및 추론 </w:t>
            </w:r>
            <w:r w:rsidDel="00000000" w:rsidR="00000000" w:rsidRPr="00000000">
              <w:rPr>
                <w:rFonts w:ascii="Arial" w:cs="Arial" w:eastAsia="Arial" w:hAnsi="Arial"/>
                <w:color w:val="444746"/>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센서 데이터를 WPU의 상태 벡터로 압축하는 프런트엔드로 활용 가능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전파 연산을 위한 대규모 그래프 처리 능력 부족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JEPA (Meta/LeCun)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잠재 공간에서의 예측 및 계획 </w:t>
            </w:r>
            <w:r w:rsidDel="00000000" w:rsidR="00000000" w:rsidRPr="00000000">
              <w:rPr>
                <w:rFonts w:ascii="Arial" w:cs="Arial" w:eastAsia="Arial" w:hAnsi="Arial"/>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WPU의 상태 표현 방식을 추상적 잠재 변수로 대체 가능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하드웨어 추상화보다는 알고리즘적 접근에 집중</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WPU의 진정한 가치는 이러한 장치들 사이에서 '세계의 지속적 상태 관리'라는 독자적인 영역을 확보했다는 데 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특히 Yann LeCun이 주장하는 JEPA 아키텍처는 픽셀이 아닌 잠재 공간에서의 예측을 강조하는데, WPU의 전파 코어는 이러한 추상적 예측이 물리적 인과율을 따르도록 강제하는 하드웨어적 제약 조건(Inductive Bias)으로 작용할 수 있다.</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9. 종합 비평 및 결론</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논문 "State Is All You Need"는 딥러닝 아키텍처의 근본적인 단위에 대해 매우 시의적절하고 용기 있는 질문을 던졌다.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토큰이라는 '운반체'에 집착해온 기존 연구 흐름에서 벗어나, 데이터가 궁극적으로 도달해야 할 '상태'라는 목적지를 명확히 설정했다는 점에서 이 연구는 높은 이론적 평가를 받을 만하다.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핵심 평가 요약:</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독창성:</w:t>
      </w:r>
      <w:r w:rsidDel="00000000" w:rsidR="00000000" w:rsidRPr="00000000">
        <w:rPr>
          <w:rFonts w:ascii="Arial Unicode MS" w:cs="Arial Unicode MS" w:eastAsia="Arial Unicode MS" w:hAnsi="Arial Unicode MS"/>
          <w:color w:val="1f1f1f"/>
          <w:rtl w:val="0"/>
        </w:rPr>
        <w:t xml:space="preserve"> 세계를 상태와 델타의 오버레이로 파악하고, 이를 처리하기 위한 전용 유닛(WPU)을 제안한 시각은 매우 독창적이며 미래 지향적이다.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타당성:</w:t>
      </w:r>
      <w:r w:rsidDel="00000000" w:rsidR="00000000" w:rsidRPr="00000000">
        <w:rPr>
          <w:rFonts w:ascii="Arial Unicode MS" w:cs="Arial Unicode MS" w:eastAsia="Arial Unicode MS" w:hAnsi="Arial Unicode MS"/>
          <w:color w:val="1f1f1f"/>
          <w:rtl w:val="0"/>
        </w:rPr>
        <w:t xml:space="preserve"> 희소 전파의 효율성을 수학적으로 정의한 메트릭(</w:t>
      </w:r>
      <w:r w:rsidDel="00000000" w:rsidR="00000000" w:rsidRPr="00000000">
        <w:rPr>
          <w:rFonts w:ascii="Arial" w:cs="Arial" w:eastAsia="Arial" w:hAnsi="Arial"/>
          <w:color w:val="1f1f1f"/>
        </w:rPr>
        <w:drawing>
          <wp:inline distB="19050" distT="19050" distL="19050" distR="19050">
            <wp:extent cx="95360" cy="242069"/>
            <wp:effectExtent b="0" l="0" r="0" t="0"/>
            <wp:docPr id="1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5360" cy="24206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)은 타당하며, 특히 대규모 시뮬레이션 환경에서 실무적 가치가 크다.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한계:</w:t>
      </w:r>
      <w:r w:rsidDel="00000000" w:rsidR="00000000" w:rsidRPr="00000000">
        <w:rPr>
          <w:rFonts w:ascii="Arial Unicode MS" w:cs="Arial Unicode MS" w:eastAsia="Arial Unicode MS" w:hAnsi="Arial Unicode MS"/>
          <w:color w:val="1f1f1f"/>
          <w:rtl w:val="0"/>
        </w:rPr>
        <w:t xml:space="preserve"> 가공되지 않은 센서 데이터로부터 상태를 추출하는 과정이 생략되었으며, 실험 결과가 모든 영역에서 압도적이지 못하다는 점은 이 연구의 가장 큰 약점이다.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과한 주장:</w:t>
      </w:r>
      <w:r w:rsidDel="00000000" w:rsidR="00000000" w:rsidRPr="00000000">
        <w:rPr>
          <w:rFonts w:ascii="Arial Unicode MS" w:cs="Arial Unicode MS" w:eastAsia="Arial Unicode MS" w:hAnsi="Arial Unicode MS"/>
          <w:color w:val="1f1f1f"/>
          <w:rtl w:val="0"/>
        </w:rPr>
        <w:t xml:space="preserve"> 제목의 도발성이나 물리 법칙에 대한 비유는 다소 과장된 측면이 있으며, 어텐션 메커니즘을 여전히 폴백으로 사용한다는 점에서 "All You Need"라는 선언은 정당성을 잃는다.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결론적으로, 본 논문은 인공지능이 '언어의 바다'를 넘어 '물리의 세계'로 나아가기 위해 필요한 아키텍처적 초석을 제안하고 있다.</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 비록 현재의 프로토타입은 불완전하고 실험적 증거가 미약하지만, 이 논문이 제시한 "상태 중심의 연산 패러다임"은 향후 로보틱스와 공간 컴퓨팅(Spatial Computing) 분야에서 AI 하드웨어 설계를 주도하는 핵심 원칙이 될 잠재력이 충분하다.</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 연구팀은 제안된 로드맵에 따라 비지도 객체 발견 알고리즘을 통합하고, 더 복잡한 실세계 벤치마크를 통해 아키텍처의 강건성을 입증하는 후속 연구를 수행해야 할 것이다.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WPU는 단순히 GPU를 대체하려는 시도가 아니라, '세계 처리'라는 새로운 연산 영역을 개척하려는 야심 찬 시도로 평가되어야 한다.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state_is_all_you_need_en.pdf</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Modern Neuromorphic AI: From Intra-Token to Inter-Token Processing - arXiv, accessed May 8, 2026, </w:t>
      </w:r>
      <w:hyperlink r:id="rId21">
        <w:r w:rsidDel="00000000" w:rsidR="00000000" w:rsidRPr="00000000">
          <w:rPr>
            <w:rFonts w:ascii="Arial" w:cs="Arial" w:eastAsia="Arial" w:hAnsi="Arial"/>
            <w:color w:val="0000ee"/>
            <w:sz w:val="24"/>
            <w:szCs w:val="24"/>
            <w:u w:val="single"/>
            <w:rtl w:val="0"/>
          </w:rPr>
          <w:t xml:space="preserve">https://arxiv.org/html/2601.00245v1</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TOON vs. JSON: Deconstructing the Token Economy of Data Serialization in Large Language Model Architectures | Towards AI, accessed May 8, 2026, </w:t>
      </w:r>
      <w:hyperlink r:id="rId22">
        <w:r w:rsidDel="00000000" w:rsidR="00000000" w:rsidRPr="00000000">
          <w:rPr>
            <w:rFonts w:ascii="Arial" w:cs="Arial" w:eastAsia="Arial" w:hAnsi="Arial"/>
            <w:color w:val="0000ee"/>
            <w:sz w:val="24"/>
            <w:szCs w:val="24"/>
            <w:u w:val="single"/>
            <w:rtl w:val="0"/>
          </w:rPr>
          <w:t xml:space="preserve">https://towardsai.net/p/machine-learning/toon-vs-json-deconstructing-the-token-economy-of-data-serialization-in-large-language-model-architectures</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RPU – A Reasoning Processing Unit - arXiv, accessed May 8, 2026, </w:t>
      </w:r>
      <w:hyperlink r:id="rId23">
        <w:r w:rsidDel="00000000" w:rsidR="00000000" w:rsidRPr="00000000">
          <w:rPr>
            <w:rFonts w:ascii="Arial" w:cs="Arial" w:eastAsia="Arial" w:hAnsi="Arial"/>
            <w:color w:val="0000ee"/>
            <w:sz w:val="24"/>
            <w:szCs w:val="24"/>
            <w:u w:val="single"/>
            <w:rtl w:val="0"/>
          </w:rPr>
          <w:t xml:space="preserve">https://arxiv.org/html/2602.18568v1</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NVIDIA BlueField-4-Powered CMX Context Memory Storage Platform for the Next Frontier of AI, accessed May 9, 2026, </w:t>
      </w:r>
      <w:hyperlink r:id="rId24">
        <w:r w:rsidDel="00000000" w:rsidR="00000000" w:rsidRPr="00000000">
          <w:rPr>
            <w:rFonts w:ascii="Arial" w:cs="Arial" w:eastAsia="Arial" w:hAnsi="Arial"/>
            <w:color w:val="0000ee"/>
            <w:sz w:val="24"/>
            <w:szCs w:val="24"/>
            <w:u w:val="single"/>
            <w:rtl w:val="0"/>
          </w:rPr>
          <w:t xml:space="preserve">https://developer.nvidia.com/blog/introducing-nvidia-bluefield-4-powered-inference-context-memory-storage-platform-for-the-next-frontier-of-ai/</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GPU vs LPU vs NPU: Infrastructure for the AI Inference Era - ModulEdge, accessed May 8, 2026, </w:t>
      </w:r>
      <w:hyperlink r:id="rId25">
        <w:r w:rsidDel="00000000" w:rsidR="00000000" w:rsidRPr="00000000">
          <w:rPr>
            <w:rFonts w:ascii="Arial" w:cs="Arial" w:eastAsia="Arial" w:hAnsi="Arial"/>
            <w:color w:val="0000ee"/>
            <w:sz w:val="24"/>
            <w:szCs w:val="24"/>
            <w:u w:val="single"/>
            <w:rtl w:val="0"/>
          </w:rPr>
          <w:t xml:space="preserve">https://www.moduledge.com/blog/gpu-vs-lpu-vs-npu-ai-chip-infrastructure</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Attention Is All You Need - Wikipedia, accessed May 8, 2026, </w:t>
      </w:r>
      <w:hyperlink r:id="rId26">
        <w:r w:rsidDel="00000000" w:rsidR="00000000" w:rsidRPr="00000000">
          <w:rPr>
            <w:rFonts w:ascii="Arial" w:cs="Arial" w:eastAsia="Arial" w:hAnsi="Arial"/>
            <w:color w:val="0000ee"/>
            <w:sz w:val="24"/>
            <w:szCs w:val="24"/>
            <w:u w:val="single"/>
            <w:rtl w:val="0"/>
          </w:rPr>
          <w:t xml:space="preserve">https://en.wikipedia.org/wiki/Attention_Is_All_You_Need</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State Serialization in AI? - JumpCloud, accessed May 8, 2026, </w:t>
      </w:r>
      <w:hyperlink r:id="rId27">
        <w:r w:rsidDel="00000000" w:rsidR="00000000" w:rsidRPr="00000000">
          <w:rPr>
            <w:rFonts w:ascii="Arial" w:cs="Arial" w:eastAsia="Arial" w:hAnsi="Arial"/>
            <w:color w:val="0000ee"/>
            <w:sz w:val="24"/>
            <w:szCs w:val="24"/>
            <w:u w:val="single"/>
            <w:rtl w:val="0"/>
          </w:rPr>
          <w:t xml:space="preserve">https://jumpcloud.com/it-index/what-is-state-serialization-in-ai</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Enterprise — live context engine for AI agents - CocoIndex, accessed May 9, 2026, </w:t>
      </w:r>
      <w:hyperlink r:id="rId28">
        <w:r w:rsidDel="00000000" w:rsidR="00000000" w:rsidRPr="00000000">
          <w:rPr>
            <w:rFonts w:ascii="Arial" w:cs="Arial" w:eastAsia="Arial" w:hAnsi="Arial"/>
            <w:color w:val="0000ee"/>
            <w:sz w:val="24"/>
            <w:szCs w:val="24"/>
            <w:u w:val="single"/>
            <w:rtl w:val="0"/>
          </w:rPr>
          <w:t xml:space="preserve">https://cocoindex.io/enterprise</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Generative to Agentic AI: A Roadmap in 2026 | by Arash Nicoomanesh | Medium, accessed May 9, 2026, </w:t>
      </w:r>
      <w:hyperlink r:id="rId29">
        <w:r w:rsidDel="00000000" w:rsidR="00000000" w:rsidRPr="00000000">
          <w:rPr>
            <w:rFonts w:ascii="Arial" w:cs="Arial" w:eastAsia="Arial" w:hAnsi="Arial"/>
            <w:color w:val="0000ee"/>
            <w:sz w:val="24"/>
            <w:szCs w:val="24"/>
            <w:u w:val="single"/>
            <w:rtl w:val="0"/>
          </w:rPr>
          <w:t xml:space="preserve">https://medium.com/@anicomanesh/from-generative-to-agentic-ai-a-roadmap-in-2026-8e553b43aeda</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Winners' Playbook as AI and Tokenization Transform Markets - Paid Program - WSJ, accessed May 9, 2026, </w:t>
      </w:r>
      <w:hyperlink r:id="rId30">
        <w:r w:rsidDel="00000000" w:rsidR="00000000" w:rsidRPr="00000000">
          <w:rPr>
            <w:rFonts w:ascii="Arial" w:cs="Arial" w:eastAsia="Arial" w:hAnsi="Arial"/>
            <w:color w:val="0000ee"/>
            <w:sz w:val="24"/>
            <w:szCs w:val="24"/>
            <w:u w:val="single"/>
            <w:rtl w:val="0"/>
          </w:rPr>
          <w:t xml:space="preserve">https://partners.wsj.com/broadridge/financial-tech/the-winners-playbook-as-ai-and-tokenization-transform-markets/</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Beyond the Video Hype: Why World Models Feel Different in 2026 | by Graison Thomas, accessed May 9, 2026, </w:t>
      </w:r>
      <w:hyperlink r:id="rId31">
        <w:r w:rsidDel="00000000" w:rsidR="00000000" w:rsidRPr="00000000">
          <w:rPr>
            <w:rFonts w:ascii="Arial" w:cs="Arial" w:eastAsia="Arial" w:hAnsi="Arial"/>
            <w:color w:val="0000ee"/>
            <w:sz w:val="24"/>
            <w:szCs w:val="24"/>
            <w:u w:val="single"/>
            <w:rtl w:val="0"/>
          </w:rPr>
          <w:t xml:space="preserve">https://medium.com/@graison/beyond-the-video-hype-why-world-models-feel-different-in-2026-88486a295fe3</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 of the Art: A Review of the World Foundational Model Landscape - NATIX Network, accessed May 9, 2026, </w:t>
      </w:r>
      <w:hyperlink r:id="rId32">
        <w:r w:rsidDel="00000000" w:rsidR="00000000" w:rsidRPr="00000000">
          <w:rPr>
            <w:rFonts w:ascii="Arial" w:cs="Arial" w:eastAsia="Arial" w:hAnsi="Arial"/>
            <w:color w:val="0000ee"/>
            <w:sz w:val="24"/>
            <w:szCs w:val="24"/>
            <w:u w:val="single"/>
            <w:rtl w:val="0"/>
          </w:rPr>
          <w:t xml:space="preserve">https://www.natix.network/blog/review-of-the-world-foundational-model-landscape</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Awesome World Models for Autonomous Driving - GitHub, accessed May 9, 2026, </w:t>
      </w:r>
      <w:hyperlink r:id="rId33">
        <w:r w:rsidDel="00000000" w:rsidR="00000000" w:rsidRPr="00000000">
          <w:rPr>
            <w:rFonts w:ascii="Arial" w:cs="Arial" w:eastAsia="Arial" w:hAnsi="Arial"/>
            <w:color w:val="0000ee"/>
            <w:sz w:val="24"/>
            <w:szCs w:val="24"/>
            <w:u w:val="single"/>
            <w:rtl w:val="0"/>
          </w:rPr>
          <w:t xml:space="preserve">https://github.com/LMD0311/Awesome-World-Model</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 Language Processing Unit? | Groq is fast, low cost inference., accessed May 8, 2026, </w:t>
      </w:r>
      <w:hyperlink r:id="rId34">
        <w:r w:rsidDel="00000000" w:rsidR="00000000" w:rsidRPr="00000000">
          <w:rPr>
            <w:rFonts w:ascii="Arial" w:cs="Arial" w:eastAsia="Arial" w:hAnsi="Arial"/>
            <w:color w:val="0000ee"/>
            <w:sz w:val="24"/>
            <w:szCs w:val="24"/>
            <w:u w:val="single"/>
            <w:rtl w:val="0"/>
          </w:rPr>
          <w:t xml:space="preserve">https://groq.com/blog/the-groq-lpu-explained</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Morphling: Fast, Fused, and Flexible GNN Training at Scale - arXiv, accessed May 8, 2026, </w:t>
      </w:r>
      <w:hyperlink r:id="rId35">
        <w:r w:rsidDel="00000000" w:rsidR="00000000" w:rsidRPr="00000000">
          <w:rPr>
            <w:rFonts w:ascii="Arial" w:cs="Arial" w:eastAsia="Arial" w:hAnsi="Arial"/>
            <w:color w:val="0000ee"/>
            <w:sz w:val="24"/>
            <w:szCs w:val="24"/>
            <w:u w:val="single"/>
            <w:rtl w:val="0"/>
          </w:rPr>
          <w:t xml:space="preserve">https://arxiv.org/html/2512.01678v1</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Scaling Graph Transformers: A Comparative Study of Sparse and Dense Attention - arXiv, accessed May 8, 2026, </w:t>
      </w:r>
      <w:hyperlink r:id="rId36">
        <w:r w:rsidDel="00000000" w:rsidR="00000000" w:rsidRPr="00000000">
          <w:rPr>
            <w:rFonts w:ascii="Arial" w:cs="Arial" w:eastAsia="Arial" w:hAnsi="Arial"/>
            <w:color w:val="0000ee"/>
            <w:sz w:val="24"/>
            <w:szCs w:val="24"/>
            <w:u w:val="single"/>
            <w:rtl w:val="0"/>
          </w:rPr>
          <w:t xml:space="preserve">https://arxiv.org/html/2508.17175v1</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NeurIPS Poster SPARTAN: A Sparse Transformer World Model Attending to What Matters, accessed May 9, 2026, </w:t>
      </w:r>
      <w:hyperlink r:id="rId37">
        <w:r w:rsidDel="00000000" w:rsidR="00000000" w:rsidRPr="00000000">
          <w:rPr>
            <w:rFonts w:ascii="Arial" w:cs="Arial" w:eastAsia="Arial" w:hAnsi="Arial"/>
            <w:color w:val="0000ee"/>
            <w:sz w:val="24"/>
            <w:szCs w:val="24"/>
            <w:u w:val="single"/>
            <w:rtl w:val="0"/>
          </w:rPr>
          <w:t xml:space="preserve">https://neurips.cc/virtual/2025/poster/115499</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Object‑Centric World Models for Causality-Aware Reinforcement Learning - arXiv, accessed May 8, 2026, </w:t>
      </w:r>
      <w:hyperlink r:id="rId38">
        <w:r w:rsidDel="00000000" w:rsidR="00000000" w:rsidRPr="00000000">
          <w:rPr>
            <w:rFonts w:ascii="Arial" w:cs="Arial" w:eastAsia="Arial" w:hAnsi="Arial"/>
            <w:color w:val="0000ee"/>
            <w:sz w:val="24"/>
            <w:szCs w:val="24"/>
            <w:u w:val="single"/>
            <w:rtl w:val="0"/>
          </w:rPr>
          <w:t xml:space="preserve">https://arxiv.org/html/2511.14262v3</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Object-Centric World Models Meet Monte Carlo Tree Search - arXiv, accessed May 9, 2026, </w:t>
      </w:r>
      <w:hyperlink r:id="rId39">
        <w:r w:rsidDel="00000000" w:rsidR="00000000" w:rsidRPr="00000000">
          <w:rPr>
            <w:rFonts w:ascii="Arial" w:cs="Arial" w:eastAsia="Arial" w:hAnsi="Arial"/>
            <w:color w:val="0000ee"/>
            <w:sz w:val="24"/>
            <w:szCs w:val="24"/>
            <w:u w:val="single"/>
            <w:rtl w:val="0"/>
          </w:rPr>
          <w:t xml:space="preserve">https://arxiv.org/html/2601.06604v1</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World Models: Five Competing Approaches – Overview - Themesis, Inc., accessed May 9, 2026, </w:t>
      </w:r>
      <w:hyperlink r:id="rId40">
        <w:r w:rsidDel="00000000" w:rsidR="00000000" w:rsidRPr="00000000">
          <w:rPr>
            <w:rFonts w:ascii="Arial" w:cs="Arial" w:eastAsia="Arial" w:hAnsi="Arial"/>
            <w:color w:val="0000ee"/>
            <w:sz w:val="24"/>
            <w:szCs w:val="24"/>
            <w:u w:val="single"/>
            <w:rtl w:val="0"/>
          </w:rPr>
          <w:t xml:space="preserve">https://themesis.com/2026/01/07/world-models-five-competing-approaches/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World Model for Robot Learning: A Comprehensive Survey - arXiv, accessed May 9, 2026, </w:t>
      </w:r>
      <w:hyperlink r:id="rId41">
        <w:r w:rsidDel="00000000" w:rsidR="00000000" w:rsidRPr="00000000">
          <w:rPr>
            <w:rFonts w:ascii="Arial" w:cs="Arial" w:eastAsia="Arial" w:hAnsi="Arial"/>
            <w:color w:val="0000ee"/>
            <w:sz w:val="24"/>
            <w:szCs w:val="24"/>
            <w:u w:val="single"/>
            <w:rtl w:val="0"/>
          </w:rPr>
          <w:t xml:space="preserve">https://arxiv.org/html/2605.00080v1</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 Neural Networks for Sparse-to-Dense 3D Domain Generalization - ResearchGate, accessed May 8, 2026, </w:t>
      </w:r>
      <w:hyperlink r:id="rId42">
        <w:r w:rsidDel="00000000" w:rsidR="00000000" w:rsidRPr="00000000">
          <w:rPr>
            <w:rFonts w:ascii="Arial" w:cs="Arial" w:eastAsia="Arial" w:hAnsi="Arial"/>
            <w:color w:val="0000ee"/>
            <w:sz w:val="24"/>
            <w:szCs w:val="24"/>
            <w:u w:val="single"/>
            <w:rtl w:val="0"/>
          </w:rPr>
          <w:t xml:space="preserve">https://www.researchgate.net/publication/394408201_Graph_Neural_Networks_for_Sparse-to-Dense_3D_Domain_Generalization</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Unlocking robotics with action tokenization | by Dave Davies | Online Inference | Medium, accessed May 8, 2026, </w:t>
      </w:r>
      <w:hyperlink r:id="rId43">
        <w:r w:rsidDel="00000000" w:rsidR="00000000" w:rsidRPr="00000000">
          <w:rPr>
            <w:rFonts w:ascii="Arial" w:cs="Arial" w:eastAsia="Arial" w:hAnsi="Arial"/>
            <w:color w:val="0000ee"/>
            <w:sz w:val="24"/>
            <w:szCs w:val="24"/>
            <w:u w:val="single"/>
            <w:rtl w:val="0"/>
          </w:rPr>
          <w:t xml:space="preserve">https://medium.com/online-inference/unlocking-robotics-with-action-tokenization-15e4160c1aee</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CORE: Compact Object-centric REpresentations as a New Paradigm for Token Merging in LVLMs - arXiv, accessed May 8, 2026, </w:t>
      </w:r>
      <w:hyperlink r:id="rId44">
        <w:r w:rsidDel="00000000" w:rsidR="00000000" w:rsidRPr="00000000">
          <w:rPr>
            <w:rFonts w:ascii="Arial" w:cs="Arial" w:eastAsia="Arial" w:hAnsi="Arial"/>
            <w:color w:val="0000ee"/>
            <w:sz w:val="24"/>
            <w:szCs w:val="24"/>
            <w:u w:val="single"/>
            <w:rtl w:val="0"/>
          </w:rPr>
          <w:t xml:space="preserve">https://arxiv.org/html/2511.14072v1</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the Transfer of Object-Centric Representation Learning - OpenReview, accessed May 9, 2026, </w:t>
      </w:r>
      <w:hyperlink r:id="rId45">
        <w:r w:rsidDel="00000000" w:rsidR="00000000" w:rsidRPr="00000000">
          <w:rPr>
            <w:rFonts w:ascii="Arial" w:cs="Arial" w:eastAsia="Arial" w:hAnsi="Arial"/>
            <w:color w:val="0000ee"/>
            <w:sz w:val="24"/>
            <w:szCs w:val="24"/>
            <w:u w:val="single"/>
            <w:rtl w:val="0"/>
          </w:rPr>
          <w:t xml:space="preserve">https://openreview.net/forum?id=bSq0XGS3kW</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CVPR 24 tutorial - Object-centric Representations in Computer Vision, accessed May 9, 2026, </w:t>
      </w:r>
      <w:hyperlink r:id="rId46">
        <w:r w:rsidDel="00000000" w:rsidR="00000000" w:rsidRPr="00000000">
          <w:rPr>
            <w:rFonts w:ascii="Arial" w:cs="Arial" w:eastAsia="Arial" w:hAnsi="Arial"/>
            <w:color w:val="0000ee"/>
            <w:sz w:val="24"/>
            <w:szCs w:val="24"/>
            <w:u w:val="single"/>
            <w:rtl w:val="0"/>
          </w:rPr>
          <w:t xml:space="preserve">https://object-centric-representation.github.io/object-centric-tutorial-2024/</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Object-Centric Structured World Models - Emergent Mind, accessed May 9, 2026, </w:t>
      </w:r>
      <w:hyperlink r:id="rId47">
        <w:r w:rsidDel="00000000" w:rsidR="00000000" w:rsidRPr="00000000">
          <w:rPr>
            <w:rFonts w:ascii="Arial" w:cs="Arial" w:eastAsia="Arial" w:hAnsi="Arial"/>
            <w:color w:val="0000ee"/>
            <w:sz w:val="24"/>
            <w:szCs w:val="24"/>
            <w:u w:val="single"/>
            <w:rtl w:val="0"/>
          </w:rPr>
          <w:t xml:space="preserve">https://www.emergentmind.com/topics/object-centric-structured-world-models</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the Global-to-Local Attention Scheme in Graph Transformers: An Empirical Study - arXiv.org, accessed May 8, 2026, </w:t>
      </w:r>
      <w:hyperlink r:id="rId48">
        <w:r w:rsidDel="00000000" w:rsidR="00000000" w:rsidRPr="00000000">
          <w:rPr>
            <w:rFonts w:ascii="Arial" w:cs="Arial" w:eastAsia="Arial" w:hAnsi="Arial"/>
            <w:color w:val="0000ee"/>
            <w:sz w:val="24"/>
            <w:szCs w:val="24"/>
            <w:u w:val="single"/>
            <w:rtl w:val="0"/>
          </w:rPr>
          <w:t xml:space="preserve">https://arxiv.org/html/2509.14863v1</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the Fundamental Limits of LLMs at Scale - arXiv, accessed May 9, 2026, </w:t>
      </w:r>
      <w:hyperlink r:id="rId49">
        <w:r w:rsidDel="00000000" w:rsidR="00000000" w:rsidRPr="00000000">
          <w:rPr>
            <w:rFonts w:ascii="Arial" w:cs="Arial" w:eastAsia="Arial" w:hAnsi="Arial"/>
            <w:color w:val="0000ee"/>
            <w:sz w:val="24"/>
            <w:szCs w:val="24"/>
            <w:u w:val="single"/>
            <w:rtl w:val="0"/>
          </w:rPr>
          <w:t xml:space="preserve">https://arxiv.org/html/2511.12869v1</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the Fundamental Limits of LLMs at Scale - arXiv, accessed May 9, 2026, </w:t>
      </w:r>
      <w:hyperlink r:id="rId50">
        <w:r w:rsidDel="00000000" w:rsidR="00000000" w:rsidRPr="00000000">
          <w:rPr>
            <w:rFonts w:ascii="Arial" w:cs="Arial" w:eastAsia="Arial" w:hAnsi="Arial"/>
            <w:color w:val="0000ee"/>
            <w:sz w:val="24"/>
            <w:szCs w:val="24"/>
            <w:u w:val="single"/>
            <w:rtl w:val="0"/>
          </w:rPr>
          <w:t xml:space="preserve">https://arxiv.org/html/2511.12869v2</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Generative AI for Teaching and Learning - William Paterson University, accessed May 8, 2026, </w:t>
      </w:r>
      <w:hyperlink r:id="rId51">
        <w:r w:rsidDel="00000000" w:rsidR="00000000" w:rsidRPr="00000000">
          <w:rPr>
            <w:rFonts w:ascii="Arial" w:cs="Arial" w:eastAsia="Arial" w:hAnsi="Arial"/>
            <w:color w:val="0000ee"/>
            <w:sz w:val="24"/>
            <w:szCs w:val="24"/>
            <w:u w:val="single"/>
            <w:rtl w:val="0"/>
          </w:rPr>
          <w:t xml:space="preserve">https://www.wpunj.edu/irt/ctt/generative-ai</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Study of Recommendation Methods Based on Graph Hybrid Neural Networks and Deep Crossing - MDPI, accessed May 8, 2026, </w:t>
      </w:r>
      <w:hyperlink r:id="rId52">
        <w:r w:rsidDel="00000000" w:rsidR="00000000" w:rsidRPr="00000000">
          <w:rPr>
            <w:rFonts w:ascii="Arial" w:cs="Arial" w:eastAsia="Arial" w:hAnsi="Arial"/>
            <w:color w:val="0000ee"/>
            <w:sz w:val="24"/>
            <w:szCs w:val="24"/>
            <w:u w:val="single"/>
            <w:rtl w:val="0"/>
          </w:rPr>
          <w:t xml:space="preserve">https://www.mdpi.com/2079-9292/13/21/4224</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[2604.27895] Graph World Models: Concepts, Taxonomy, and Future Directions - arXiv, accessed May 9, 2026, </w:t>
      </w:r>
      <w:hyperlink r:id="rId53">
        <w:r w:rsidDel="00000000" w:rsidR="00000000" w:rsidRPr="00000000">
          <w:rPr>
            <w:rFonts w:ascii="Arial" w:cs="Arial" w:eastAsia="Arial" w:hAnsi="Arial"/>
            <w:color w:val="0000ee"/>
            <w:sz w:val="24"/>
            <w:szCs w:val="24"/>
            <w:u w:val="single"/>
            <w:rtl w:val="0"/>
          </w:rPr>
          <w:t xml:space="preserve">https://arxiv.org/abs/2604.27895</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Belief propagation - Wikipedia, accessed May 9, 2026, </w:t>
      </w:r>
      <w:hyperlink r:id="rId54">
        <w:r w:rsidDel="00000000" w:rsidR="00000000" w:rsidRPr="00000000">
          <w:rPr>
            <w:rFonts w:ascii="Arial" w:cs="Arial" w:eastAsia="Arial" w:hAnsi="Arial"/>
            <w:color w:val="0000ee"/>
            <w:sz w:val="24"/>
            <w:szCs w:val="24"/>
            <w:u w:val="single"/>
            <w:rtl w:val="0"/>
          </w:rPr>
          <w:t xml:space="preserve">https://en.wikipedia.org/wiki/Belief_propagation</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Critique of World Models As A Path to Human Level Intelligence: A Comprehensive Outline with References | by Jacob Grow | Medium, accessed May 9, 2026, </w:t>
      </w:r>
      <w:hyperlink r:id="rId55">
        <w:r w:rsidDel="00000000" w:rsidR="00000000" w:rsidRPr="00000000">
          <w:rPr>
            <w:rFonts w:ascii="Arial" w:cs="Arial" w:eastAsia="Arial" w:hAnsi="Arial"/>
            <w:color w:val="0000ee"/>
            <w:sz w:val="24"/>
            <w:szCs w:val="24"/>
            <w:u w:val="single"/>
            <w:rtl w:val="0"/>
          </w:rPr>
          <w:t xml:space="preserve">https://medium.com/@Gbgrow/critique-of-world-models-as-a-path-to-human-level-intelligence-a-comprehensive-outline-with-1a50e459b050</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Interpreting Physics in Video World Models - arXiv, accessed May 8, 2026, </w:t>
      </w:r>
      <w:hyperlink r:id="rId56">
        <w:r w:rsidDel="00000000" w:rsidR="00000000" w:rsidRPr="00000000">
          <w:rPr>
            <w:rFonts w:ascii="Arial" w:cs="Arial" w:eastAsia="Arial" w:hAnsi="Arial"/>
            <w:color w:val="0000ee"/>
            <w:sz w:val="24"/>
            <w:szCs w:val="24"/>
            <w:u w:val="single"/>
            <w:rtl w:val="0"/>
          </w:rPr>
          <w:t xml:space="preserve">https://arxiv.org/html/2602.07050v1</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What's Next: World Models and Their Importance in Physical AI - IQT, accessed May 9, 2026, </w:t>
      </w:r>
      <w:hyperlink r:id="rId57">
        <w:r w:rsidDel="00000000" w:rsidR="00000000" w:rsidRPr="00000000">
          <w:rPr>
            <w:rFonts w:ascii="Arial" w:cs="Arial" w:eastAsia="Arial" w:hAnsi="Arial"/>
            <w:color w:val="0000ee"/>
            <w:sz w:val="24"/>
            <w:szCs w:val="24"/>
            <w:u w:val="single"/>
            <w:rtl w:val="0"/>
          </w:rPr>
          <w:t xml:space="preserve">https://www.iqt.org/library/whats-next-world-models-and-their-importance-in-physical-ai</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Neutralizing Structural Vulnerabilities in Token-Oriented Object Notation (TOON): The S-TOON Protocol for Secure Outputs - TechRxiv, accessed May 9, 2026, </w:t>
      </w:r>
      <w:hyperlink r:id="rId58">
        <w:r w:rsidDel="00000000" w:rsidR="00000000" w:rsidRPr="00000000">
          <w:rPr>
            <w:rFonts w:ascii="Arial" w:cs="Arial" w:eastAsia="Arial" w:hAnsi="Arial"/>
            <w:color w:val="0000ee"/>
            <w:sz w:val="24"/>
            <w:szCs w:val="24"/>
            <w:u w:val="single"/>
            <w:rtl w:val="0"/>
          </w:rPr>
          <w:t xml:space="preserve">https://www.techrxiv.org/doi/pdf/10.36227/techrxiv.177033002.20370897</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Beyond the Token: Why Joint Embedding Predictive Architectures and 'World Models' Could Define the Next Era of Mission AI - Government Technology Insider, accessed May 9, 2026, </w:t>
      </w:r>
      <w:hyperlink r:id="rId59">
        <w:r w:rsidDel="00000000" w:rsidR="00000000" w:rsidRPr="00000000">
          <w:rPr>
            <w:rFonts w:ascii="Arial" w:cs="Arial" w:eastAsia="Arial" w:hAnsi="Arial"/>
            <w:color w:val="0000ee"/>
            <w:sz w:val="24"/>
            <w:szCs w:val="24"/>
            <w:u w:val="single"/>
            <w:rtl w:val="0"/>
          </w:rPr>
          <w:t xml:space="preserve">https://governmenttechnologyinsider.com/beyond-the-token-why-joint-embedding-predictive-architectures-and-world-models-could-define-the-next-era-of-mission-ai/</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Wow, wo, val! A Comprehensive Embodied World Model Evaluation Turing Test - arXiv, accessed May 9, 2026, </w:t>
      </w:r>
      <w:hyperlink r:id="rId60">
        <w:r w:rsidDel="00000000" w:rsidR="00000000" w:rsidRPr="00000000">
          <w:rPr>
            <w:rFonts w:ascii="Arial" w:cs="Arial" w:eastAsia="Arial" w:hAnsi="Arial"/>
            <w:color w:val="0000ee"/>
            <w:sz w:val="24"/>
            <w:szCs w:val="24"/>
            <w:u w:val="single"/>
            <w:rtl w:val="0"/>
          </w:rPr>
          <w:t xml:space="preserve">https://arxiv.org/html/2601.04137v1</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[2501.16443] Object-Centric World Models from Few-Shot Annotations for Sample-Efficient Reinforcement Learning - arXiv, accessed May 9, 2026, </w:t>
      </w:r>
      <w:hyperlink r:id="rId61">
        <w:r w:rsidDel="00000000" w:rsidR="00000000" w:rsidRPr="00000000">
          <w:rPr>
            <w:rFonts w:ascii="Arial" w:cs="Arial" w:eastAsia="Arial" w:hAnsi="Arial"/>
            <w:color w:val="0000ee"/>
            <w:sz w:val="24"/>
            <w:szCs w:val="24"/>
            <w:u w:val="single"/>
            <w:rtl w:val="0"/>
          </w:rPr>
          <w:t xml:space="preserve">https://arxiv.org/abs/2501.16443</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Graph World Models: Concepts, Taxonomy, and Future Directions - arXiv, accessed May 8, 2026, </w:t>
      </w:r>
      <w:hyperlink r:id="rId62">
        <w:r w:rsidDel="00000000" w:rsidR="00000000" w:rsidRPr="00000000">
          <w:rPr>
            <w:rFonts w:ascii="Arial" w:cs="Arial" w:eastAsia="Arial" w:hAnsi="Arial"/>
            <w:color w:val="0000ee"/>
            <w:sz w:val="24"/>
            <w:szCs w:val="24"/>
            <w:u w:val="single"/>
            <w:rtl w:val="0"/>
          </w:rPr>
          <w:t xml:space="preserve">https://arxiv.org/html/2604.27895v1</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Sparse vs Dense Models: A Deep Dive into How Modern AI Really Works - Medium, accessed May 9, 2026, </w:t>
      </w:r>
      <w:hyperlink r:id="rId63">
        <w:r w:rsidDel="00000000" w:rsidR="00000000" w:rsidRPr="00000000">
          <w:rPr>
            <w:rFonts w:ascii="Arial" w:cs="Arial" w:eastAsia="Arial" w:hAnsi="Arial"/>
            <w:color w:val="0000ee"/>
            <w:sz w:val="24"/>
            <w:szCs w:val="24"/>
            <w:u w:val="single"/>
            <w:rtl w:val="0"/>
          </w:rPr>
          <w:t xml:space="preserve">https://medium.com/@atri_iiita/sparse-vs-dense-models-a-deep-dive-into-how-modern-ai-really-works-cf38fcd8d9ff</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Replacing Multi-Step Assembly of Data Preparation Pipelines with One-Step LLM Pipeline Generation for Table QA - arXiv, accessed May 9, 2026, </w:t>
      </w:r>
      <w:hyperlink r:id="rId64">
        <w:r w:rsidDel="00000000" w:rsidR="00000000" w:rsidRPr="00000000">
          <w:rPr>
            <w:rFonts w:ascii="Arial" w:cs="Arial" w:eastAsia="Arial" w:hAnsi="Arial"/>
            <w:color w:val="0000ee"/>
            <w:sz w:val="24"/>
            <w:szCs w:val="24"/>
            <w:u w:val="single"/>
            <w:rtl w:val="0"/>
          </w:rPr>
          <w:t xml:space="preserve">https://arxiv.org/html/2602.22721v2</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an NPU? And why is it key to unlocking on-device generative AI? | Qualcomm, accessed May 8, 2026, </w:t>
      </w:r>
      <w:hyperlink r:id="rId65">
        <w:r w:rsidDel="00000000" w:rsidR="00000000" w:rsidRPr="00000000">
          <w:rPr>
            <w:rFonts w:ascii="Arial" w:cs="Arial" w:eastAsia="Arial" w:hAnsi="Arial"/>
            <w:color w:val="0000ee"/>
            <w:sz w:val="24"/>
            <w:szCs w:val="24"/>
            <w:u w:val="single"/>
            <w:rtl w:val="0"/>
          </w:rPr>
          <w:t xml:space="preserve">https://www.qualcomm.com/news/onq/2024/02/what-is-an-npu-and-why-is-it-key-to-unlocking-on-device-generative-ai</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an NPU? Understanding the Differences Between CPUs, GPUs and NPUs, accessed May 8, 2026, </w:t>
      </w:r>
      <w:hyperlink r:id="rId66">
        <w:r w:rsidDel="00000000" w:rsidR="00000000" w:rsidRPr="00000000">
          <w:rPr>
            <w:rFonts w:ascii="Arial" w:cs="Arial" w:eastAsia="Arial" w:hAnsi="Arial"/>
            <w:color w:val="0000ee"/>
            <w:sz w:val="24"/>
            <w:szCs w:val="24"/>
            <w:u w:val="single"/>
            <w:rtl w:val="0"/>
          </w:rPr>
          <w:t xml:space="preserve">https://www.rapidus.inc/en/tech/te0013/</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JEPA vs LLM: Why Yann LeCun Thinks Generative AI Is a Dead End - Fenxi, accessed May 9, 2026, </w:t>
      </w:r>
      <w:hyperlink r:id="rId67">
        <w:r w:rsidDel="00000000" w:rsidR="00000000" w:rsidRPr="00000000">
          <w:rPr>
            <w:rFonts w:ascii="Arial" w:cs="Arial" w:eastAsia="Arial" w:hAnsi="Arial"/>
            <w:color w:val="0000ee"/>
            <w:sz w:val="24"/>
            <w:szCs w:val="24"/>
            <w:u w:val="single"/>
            <w:rtl w:val="0"/>
          </w:rPr>
          <w:t xml:space="preserve">https://fenxi.fr/en/blog/jepa-vs-llm-predictive-ai-vs-generative-ai-2/</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World Models: JEPA and VL-JEPA - Themesis, Inc., accessed May 9, 2026, </w:t>
      </w:r>
      <w:hyperlink r:id="rId68">
        <w:r w:rsidDel="00000000" w:rsidR="00000000" w:rsidRPr="00000000">
          <w:rPr>
            <w:rFonts w:ascii="Arial" w:cs="Arial" w:eastAsia="Arial" w:hAnsi="Arial"/>
            <w:color w:val="0000ee"/>
            <w:sz w:val="24"/>
            <w:szCs w:val="24"/>
            <w:u w:val="single"/>
            <w:rtl w:val="0"/>
          </w:rPr>
          <w:t xml:space="preserve">https://themesis.com/2026/01/21/world-models-jepa-and-vl-jepa/</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[2601.00844] Value-guided action planning with JEPA world models - arXiv, accessed May 9, 2026, </w:t>
      </w:r>
      <w:hyperlink r:id="rId69">
        <w:r w:rsidDel="00000000" w:rsidR="00000000" w:rsidRPr="00000000">
          <w:rPr>
            <w:rFonts w:ascii="Arial" w:cs="Arial" w:eastAsia="Arial" w:hAnsi="Arial"/>
            <w:color w:val="0000ee"/>
            <w:sz w:val="24"/>
            <w:szCs w:val="24"/>
            <w:u w:val="single"/>
            <w:rtl w:val="0"/>
          </w:rPr>
          <w:t xml:space="preserve">https://arxiv.org/abs/2601.00844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mesis.com/2026/01/07/world-models-five-competing-approaches/" TargetMode="External"/><Relationship Id="rId42" Type="http://schemas.openxmlformats.org/officeDocument/2006/relationships/hyperlink" Target="https://www.researchgate.net/publication/394408201_Graph_Neural_Networks_for_Sparse-to-Dense_3D_Domain_Generalization" TargetMode="External"/><Relationship Id="rId41" Type="http://schemas.openxmlformats.org/officeDocument/2006/relationships/hyperlink" Target="https://arxiv.org/html/2605.00080v1" TargetMode="External"/><Relationship Id="rId44" Type="http://schemas.openxmlformats.org/officeDocument/2006/relationships/hyperlink" Target="https://arxiv.org/html/2511.14072v1" TargetMode="External"/><Relationship Id="rId43" Type="http://schemas.openxmlformats.org/officeDocument/2006/relationships/hyperlink" Target="https://medium.com/online-inference/unlocking-robotics-with-action-tokenization-15e4160c1aee" TargetMode="External"/><Relationship Id="rId46" Type="http://schemas.openxmlformats.org/officeDocument/2006/relationships/hyperlink" Target="https://object-centric-representation.github.io/object-centric-tutorial-2024/" TargetMode="External"/><Relationship Id="rId45" Type="http://schemas.openxmlformats.org/officeDocument/2006/relationships/hyperlink" Target="https://openreview.net/forum?id=bSq0XGS3k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arxiv.org/html/2509.14863v1" TargetMode="External"/><Relationship Id="rId47" Type="http://schemas.openxmlformats.org/officeDocument/2006/relationships/hyperlink" Target="https://www.emergentmind.com/topics/object-centric-structured-world-models" TargetMode="External"/><Relationship Id="rId49" Type="http://schemas.openxmlformats.org/officeDocument/2006/relationships/hyperlink" Target="https://arxiv.org/html/2511.12869v1"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6.png"/><Relationship Id="rId31" Type="http://schemas.openxmlformats.org/officeDocument/2006/relationships/hyperlink" Target="https://medium.com/@graison/beyond-the-video-hype-why-world-models-feel-different-in-2026-88486a295fe3" TargetMode="External"/><Relationship Id="rId30" Type="http://schemas.openxmlformats.org/officeDocument/2006/relationships/hyperlink" Target="https://partners.wsj.com/broadridge/financial-tech/the-winners-playbook-as-ai-and-tokenization-transform-markets/" TargetMode="External"/><Relationship Id="rId33" Type="http://schemas.openxmlformats.org/officeDocument/2006/relationships/hyperlink" Target="https://github.com/LMD0311/Awesome-World-Model" TargetMode="External"/><Relationship Id="rId32" Type="http://schemas.openxmlformats.org/officeDocument/2006/relationships/hyperlink" Target="https://www.natix.network/blog/review-of-the-world-foundational-model-landscape" TargetMode="External"/><Relationship Id="rId35" Type="http://schemas.openxmlformats.org/officeDocument/2006/relationships/hyperlink" Target="https://arxiv.org/html/2512.01678v1" TargetMode="External"/><Relationship Id="rId34" Type="http://schemas.openxmlformats.org/officeDocument/2006/relationships/hyperlink" Target="https://groq.com/blog/the-groq-lpu-explained" TargetMode="External"/><Relationship Id="rId37" Type="http://schemas.openxmlformats.org/officeDocument/2006/relationships/hyperlink" Target="https://neurips.cc/virtual/2025/poster/115499" TargetMode="External"/><Relationship Id="rId36" Type="http://schemas.openxmlformats.org/officeDocument/2006/relationships/hyperlink" Target="https://arxiv.org/html/2508.17175v1" TargetMode="External"/><Relationship Id="rId39" Type="http://schemas.openxmlformats.org/officeDocument/2006/relationships/hyperlink" Target="https://arxiv.org/html/2601.06604v1" TargetMode="External"/><Relationship Id="rId38" Type="http://schemas.openxmlformats.org/officeDocument/2006/relationships/hyperlink" Target="https://arxiv.org/html/2511.14262v3" TargetMode="External"/><Relationship Id="rId62" Type="http://schemas.openxmlformats.org/officeDocument/2006/relationships/hyperlink" Target="https://arxiv.org/html/2604.27895v1" TargetMode="External"/><Relationship Id="rId61" Type="http://schemas.openxmlformats.org/officeDocument/2006/relationships/hyperlink" Target="https://arxiv.org/abs/2501.16443" TargetMode="External"/><Relationship Id="rId20" Type="http://schemas.openxmlformats.org/officeDocument/2006/relationships/image" Target="media/image8.png"/><Relationship Id="rId64" Type="http://schemas.openxmlformats.org/officeDocument/2006/relationships/hyperlink" Target="https://arxiv.org/html/2602.22721v2" TargetMode="External"/><Relationship Id="rId63" Type="http://schemas.openxmlformats.org/officeDocument/2006/relationships/hyperlink" Target="https://medium.com/@atri_iiita/sparse-vs-dense-models-a-deep-dive-into-how-modern-ai-really-works-cf38fcd8d9ff" TargetMode="External"/><Relationship Id="rId22" Type="http://schemas.openxmlformats.org/officeDocument/2006/relationships/hyperlink" Target="https://towardsai.net/p/machine-learning/toon-vs-json-deconstructing-the-token-economy-of-data-serialization-in-large-language-model-architectures" TargetMode="External"/><Relationship Id="rId66" Type="http://schemas.openxmlformats.org/officeDocument/2006/relationships/hyperlink" Target="https://www.rapidus.inc/en/tech/te0013/" TargetMode="External"/><Relationship Id="rId21" Type="http://schemas.openxmlformats.org/officeDocument/2006/relationships/hyperlink" Target="https://arxiv.org/html/2601.00245v1" TargetMode="External"/><Relationship Id="rId65" Type="http://schemas.openxmlformats.org/officeDocument/2006/relationships/hyperlink" Target="https://www.qualcomm.com/news/onq/2024/02/what-is-an-npu-and-why-is-it-key-to-unlocking-on-device-generative-ai" TargetMode="External"/><Relationship Id="rId24" Type="http://schemas.openxmlformats.org/officeDocument/2006/relationships/hyperlink" Target="https://developer.nvidia.com/blog/introducing-nvidia-bluefield-4-powered-inference-context-memory-storage-platform-for-the-next-frontier-of-ai/" TargetMode="External"/><Relationship Id="rId68" Type="http://schemas.openxmlformats.org/officeDocument/2006/relationships/hyperlink" Target="https://themesis.com/2026/01/21/world-models-jepa-and-vl-jepa/" TargetMode="External"/><Relationship Id="rId23" Type="http://schemas.openxmlformats.org/officeDocument/2006/relationships/hyperlink" Target="https://arxiv.org/html/2602.18568v1" TargetMode="External"/><Relationship Id="rId67" Type="http://schemas.openxmlformats.org/officeDocument/2006/relationships/hyperlink" Target="https://fenxi.fr/en/blog/jepa-vs-llm-predictive-ai-vs-generative-ai-2/" TargetMode="External"/><Relationship Id="rId60" Type="http://schemas.openxmlformats.org/officeDocument/2006/relationships/hyperlink" Target="https://arxiv.org/html/2601.04137v1" TargetMode="External"/><Relationship Id="rId26" Type="http://schemas.openxmlformats.org/officeDocument/2006/relationships/hyperlink" Target="https://en.wikipedia.org/wiki/Attention_Is_All_You_Need" TargetMode="External"/><Relationship Id="rId25" Type="http://schemas.openxmlformats.org/officeDocument/2006/relationships/hyperlink" Target="https://www.moduledge.com/blog/gpu-vs-lpu-vs-npu-ai-chip-infrastructure" TargetMode="External"/><Relationship Id="rId69" Type="http://schemas.openxmlformats.org/officeDocument/2006/relationships/hyperlink" Target="https://arxiv.org/abs/2601.00844" TargetMode="External"/><Relationship Id="rId28" Type="http://schemas.openxmlformats.org/officeDocument/2006/relationships/hyperlink" Target="https://cocoindex.io/enterprise" TargetMode="External"/><Relationship Id="rId27" Type="http://schemas.openxmlformats.org/officeDocument/2006/relationships/hyperlink" Target="https://jumpcloud.com/it-index/what-is-state-serialization-in-ai" TargetMode="External"/><Relationship Id="rId29" Type="http://schemas.openxmlformats.org/officeDocument/2006/relationships/hyperlink" Target="https://medium.com/@anicomanesh/from-generative-to-agentic-ai-a-roadmap-in-2026-8e553b43aeda" TargetMode="External"/><Relationship Id="rId51" Type="http://schemas.openxmlformats.org/officeDocument/2006/relationships/hyperlink" Target="https://www.wpunj.edu/irt/ctt/generative-ai" TargetMode="External"/><Relationship Id="rId50" Type="http://schemas.openxmlformats.org/officeDocument/2006/relationships/hyperlink" Target="https://arxiv.org/html/2511.12869v2" TargetMode="External"/><Relationship Id="rId53" Type="http://schemas.openxmlformats.org/officeDocument/2006/relationships/hyperlink" Target="https://arxiv.org/abs/2604.27895" TargetMode="External"/><Relationship Id="rId52" Type="http://schemas.openxmlformats.org/officeDocument/2006/relationships/hyperlink" Target="https://www.mdpi.com/2079-9292/13/21/4224" TargetMode="External"/><Relationship Id="rId11" Type="http://schemas.openxmlformats.org/officeDocument/2006/relationships/image" Target="media/image9.png"/><Relationship Id="rId55" Type="http://schemas.openxmlformats.org/officeDocument/2006/relationships/hyperlink" Target="https://medium.com/@Gbgrow/critique-of-world-models-as-a-path-to-human-level-intelligence-a-comprehensive-outline-with-1a50e459b050" TargetMode="External"/><Relationship Id="rId10" Type="http://schemas.openxmlformats.org/officeDocument/2006/relationships/image" Target="media/image2.png"/><Relationship Id="rId54" Type="http://schemas.openxmlformats.org/officeDocument/2006/relationships/hyperlink" Target="https://en.wikipedia.org/wiki/Belief_propagation" TargetMode="External"/><Relationship Id="rId13" Type="http://schemas.openxmlformats.org/officeDocument/2006/relationships/image" Target="media/image10.png"/><Relationship Id="rId57" Type="http://schemas.openxmlformats.org/officeDocument/2006/relationships/hyperlink" Target="https://www.iqt.org/library/whats-next-world-models-and-their-importance-in-physical-ai" TargetMode="External"/><Relationship Id="rId12" Type="http://schemas.openxmlformats.org/officeDocument/2006/relationships/image" Target="media/image13.png"/><Relationship Id="rId56" Type="http://schemas.openxmlformats.org/officeDocument/2006/relationships/hyperlink" Target="https://arxiv.org/html/2602.07050v1" TargetMode="External"/><Relationship Id="rId15" Type="http://schemas.openxmlformats.org/officeDocument/2006/relationships/image" Target="media/image7.png"/><Relationship Id="rId59" Type="http://schemas.openxmlformats.org/officeDocument/2006/relationships/hyperlink" Target="https://governmenttechnologyinsider.com/beyond-the-token-why-joint-embedding-predictive-architectures-and-world-models-could-define-the-next-era-of-mission-ai/" TargetMode="External"/><Relationship Id="rId14" Type="http://schemas.openxmlformats.org/officeDocument/2006/relationships/image" Target="media/image14.png"/><Relationship Id="rId58" Type="http://schemas.openxmlformats.org/officeDocument/2006/relationships/hyperlink" Target="https://www.techrxiv.org/doi/pdf/10.36227/techrxiv.177033002.20370897" TargetMode="External"/><Relationship Id="rId17" Type="http://schemas.openxmlformats.org/officeDocument/2006/relationships/image" Target="media/image3.png"/><Relationship Id="rId16" Type="http://schemas.openxmlformats.org/officeDocument/2006/relationships/image" Target="media/image5.png"/><Relationship Id="rId19" Type="http://schemas.openxmlformats.org/officeDocument/2006/relationships/image" Target="media/image15.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