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line="300" w:lineRule="auto"/>
      </w:pPr>
      <w:r>
        <w:rPr>
          <w:rFonts w:ascii="Calibri" w:hAnsi="Calibri"/>
          <w:b/>
          <w:color w:val="2E74B5"/>
          <w:sz w:val="24"/>
        </w:rPr>
        <w:t>TRAVELYT OPERATIONS POLICY</w:t>
      </w:r>
    </w:p>
    <w:p>
      <w:pPr>
        <w:pStyle w:val="Title"/>
        <w:pBdr>
          <w:bottom w:val="single" w:sz="8" w:space="4" w:color="2E74B5"/>
        </w:pBdr>
      </w:pPr>
      <w:r>
        <w:t>Launch Policy Packet</w:t>
      </w:r>
    </w:p>
    <w:p>
      <w:pPr>
        <w:spacing w:before="0" w:after="280" w:line="312" w:lineRule="auto"/>
      </w:pPr>
      <w:r>
        <w:rPr>
          <w:rFonts w:ascii="Calibri" w:hAnsi="Calibri"/>
          <w:color w:val="5A6370"/>
          <w:sz w:val="29"/>
        </w:rPr>
        <w:t>Service/shipping rules, privacy, customer terms, prohibited items, refunds and claims, custody proof, driver/admin controls, booking control, incidents, and launch-ready paperwork</w:t>
      </w: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100"/>
        <w:gridCol w:w="7260"/>
      </w:tblGrid>
      <w:tr>
        <w:tc>
          <w:tcPr>
            <w:tcW w:type="dxa" w:w="2100"/>
            <w:shd w:fill="F2F4F7"/>
          </w:tcPr>
          <w:p>
            <w:pPr>
              <w:spacing w:before="0" w:after="0" w:line="276" w:lineRule="auto"/>
            </w:pPr>
            <w:r/>
            <w:r>
              <w:rPr>
                <w:rFonts w:ascii="Calibri" w:hAnsi="Calibri"/>
                <w:b/>
                <w:color w:val="1F4D78"/>
                <w:sz w:val="19"/>
              </w:rPr>
              <w:t>Status</w:t>
            </w:r>
          </w:p>
        </w:tc>
        <w:tc>
          <w:tcPr>
            <w:tcW w:type="dxa" w:w="7260"/>
          </w:tcPr>
          <w:p>
            <w:pPr>
              <w:spacing w:before="0" w:after="0" w:line="276" w:lineRule="auto"/>
            </w:pPr>
            <w:r/>
            <w:r>
              <w:rPr>
                <w:rFonts w:ascii="Calibri" w:hAnsi="Calibri"/>
                <w:b w:val="0"/>
                <w:color w:val="0B2545"/>
                <w:sz w:val="19"/>
              </w:rPr>
              <w:t>Internal operational draft for launch testing; not final legal advice.</w:t>
            </w:r>
          </w:p>
        </w:tc>
      </w:tr>
      <w:tr>
        <w:tc>
          <w:tcPr>
            <w:tcW w:type="dxa" w:w="2100"/>
            <w:shd w:fill="F2F4F7"/>
          </w:tcPr>
          <w:p>
            <w:pPr>
              <w:spacing w:before="0" w:after="0" w:line="276" w:lineRule="auto"/>
            </w:pPr>
            <w:r/>
            <w:r>
              <w:rPr>
                <w:rFonts w:ascii="Calibri" w:hAnsi="Calibri"/>
                <w:b/>
                <w:color w:val="1F4D78"/>
                <w:sz w:val="19"/>
              </w:rPr>
              <w:t>Applies to</w:t>
            </w:r>
          </w:p>
        </w:tc>
        <w:tc>
          <w:tcPr>
            <w:tcW w:type="dxa" w:w="7260"/>
          </w:tcPr>
          <w:p>
            <w:pPr>
              <w:spacing w:before="0" w:after="0" w:line="276" w:lineRule="auto"/>
            </w:pPr>
            <w:r/>
            <w:r>
              <w:rPr>
                <w:rFonts w:ascii="Calibri" w:hAnsi="Calibri"/>
                <w:b w:val="0"/>
                <w:color w:val="0B2545"/>
                <w:sz w:val="19"/>
              </w:rPr>
              <w:t>travelyt.us, iOS app, booking requests, admin portal, driver portal, support, and manual partner workflows.</w:t>
            </w:r>
          </w:p>
        </w:tc>
      </w:tr>
      <w:tr>
        <w:tc>
          <w:tcPr>
            <w:tcW w:type="dxa" w:w="2100"/>
            <w:shd w:fill="F2F4F7"/>
          </w:tcPr>
          <w:p>
            <w:pPr>
              <w:spacing w:before="0" w:after="0" w:line="276" w:lineRule="auto"/>
            </w:pPr>
            <w:r/>
            <w:r>
              <w:rPr>
                <w:rFonts w:ascii="Calibri" w:hAnsi="Calibri"/>
                <w:b/>
                <w:color w:val="1F4D78"/>
                <w:sz w:val="19"/>
              </w:rPr>
              <w:t>Public links</w:t>
            </w:r>
          </w:p>
        </w:tc>
        <w:tc>
          <w:tcPr>
            <w:tcW w:type="dxa" w:w="7260"/>
          </w:tcPr>
          <w:p>
            <w:pPr>
              <w:spacing w:before="0" w:after="0" w:line="276" w:lineRule="auto"/>
            </w:pPr>
            <w:r/>
            <w:r>
              <w:rPr>
                <w:rFonts w:ascii="Calibri" w:hAnsi="Calibri"/>
                <w:b w:val="0"/>
                <w:color w:val="0B2545"/>
                <w:sz w:val="19"/>
              </w:rPr>
              <w:t>https://travelyt.us/privacy, /terms, /prohibited-items, /support, /driver/apply.</w:t>
            </w:r>
          </w:p>
        </w:tc>
      </w:tr>
      <w:tr>
        <w:tc>
          <w:tcPr>
            <w:tcW w:type="dxa" w:w="2100"/>
            <w:shd w:fill="F2F4F7"/>
          </w:tcPr>
          <w:p>
            <w:pPr>
              <w:spacing w:before="0" w:after="0" w:line="276" w:lineRule="auto"/>
            </w:pPr>
            <w:r/>
            <w:r>
              <w:rPr>
                <w:rFonts w:ascii="Calibri" w:hAnsi="Calibri"/>
                <w:b/>
                <w:color w:val="1F4D78"/>
                <w:sz w:val="19"/>
              </w:rPr>
              <w:t>Owner</w:t>
            </w:r>
          </w:p>
        </w:tc>
        <w:tc>
          <w:tcPr>
            <w:tcW w:type="dxa" w:w="7260"/>
          </w:tcPr>
          <w:p>
            <w:pPr>
              <w:spacing w:before="0" w:after="0" w:line="276" w:lineRule="auto"/>
            </w:pPr>
            <w:r/>
            <w:r>
              <w:rPr>
                <w:rFonts w:ascii="Calibri" w:hAnsi="Calibri"/>
                <w:b w:val="0"/>
                <w:color w:val="0B2545"/>
                <w:sz w:val="19"/>
              </w:rPr>
              <w:t>Travelyt operations / admin.</w:t>
            </w:r>
          </w:p>
        </w:tc>
      </w:tr>
      <w:tr>
        <w:tc>
          <w:tcPr>
            <w:tcW w:type="dxa" w:w="2100"/>
            <w:shd w:fill="F2F4F7"/>
          </w:tcPr>
          <w:p>
            <w:pPr>
              <w:spacing w:before="0" w:after="0" w:line="276" w:lineRule="auto"/>
            </w:pPr>
            <w:r/>
            <w:r>
              <w:rPr>
                <w:rFonts w:ascii="Calibri" w:hAnsi="Calibri"/>
                <w:b/>
                <w:color w:val="1F4D78"/>
                <w:sz w:val="19"/>
              </w:rPr>
              <w:t>Version</w:t>
            </w:r>
          </w:p>
        </w:tc>
        <w:tc>
          <w:tcPr>
            <w:tcW w:type="dxa" w:w="7260"/>
          </w:tcPr>
          <w:p>
            <w:pPr>
              <w:spacing w:before="0" w:after="0" w:line="276" w:lineRule="auto"/>
            </w:pPr>
            <w:r/>
            <w:r>
              <w:rPr>
                <w:rFonts w:ascii="Calibri" w:hAnsi="Calibri"/>
                <w:b w:val="0"/>
                <w:color w:val="0B2545"/>
                <w:sz w:val="19"/>
              </w:rPr>
              <w:t>v0.2 - June 2026.</w:t>
            </w:r>
          </w:p>
        </w:tc>
      </w:tr>
      <w:tr>
        <w:tc>
          <w:tcPr>
            <w:tcW w:type="dxa" w:w="2100"/>
            <w:shd w:fill="F2F4F7"/>
          </w:tcPr>
          <w:p>
            <w:pPr>
              <w:spacing w:before="0" w:after="0" w:line="276" w:lineRule="auto"/>
            </w:pPr>
            <w:r/>
            <w:r>
              <w:rPr>
                <w:rFonts w:ascii="Calibri" w:hAnsi="Calibri"/>
                <w:b/>
                <w:color w:val="1F4D78"/>
                <w:sz w:val="19"/>
              </w:rPr>
              <w:t>Important</w:t>
            </w:r>
          </w:p>
        </w:tc>
        <w:tc>
          <w:tcPr>
            <w:tcW w:type="dxa" w:w="7260"/>
          </w:tcPr>
          <w:p>
            <w:pPr>
              <w:spacing w:before="0" w:after="0" w:line="276" w:lineRule="auto"/>
            </w:pPr>
            <w:r/>
            <w:r>
              <w:rPr>
                <w:rFonts w:ascii="Calibri" w:hAnsi="Calibri"/>
                <w:b w:val="0"/>
                <w:color w:val="0B2545"/>
                <w:sz w:val="19"/>
              </w:rPr>
              <w:t>Do not print active admin passwords, driver access codes, Stripe keys, Supabase keys, or customer private data inside this packet.</w:t>
            </w:r>
          </w:p>
        </w:tc>
      </w:tr>
    </w:tbl>
    <w:p>
      <w:pPr>
        <w:spacing w:after="160"/>
      </w:pP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vAlign w:val="center"/>
            <w:tcMar>
              <w:top w:w="80" w:type="dxa"/>
              <w:bottom w:w="80" w:type="dxa"/>
              <w:start w:w="120" w:type="dxa"/>
              <w:end w:w="120" w:type="dxa"/>
            </w:tcMar>
            <w:shd w:fill="FFF7E6"/>
          </w:tcPr>
          <w:p>
            <w:pPr>
              <w:spacing w:before="0" w:after="40" w:line="283" w:lineRule="auto"/>
            </w:pPr>
            <w:r/>
            <w:r>
              <w:rPr>
                <w:rFonts w:ascii="Calibri" w:hAnsi="Calibri"/>
                <w:b/>
                <w:color w:val="7A5A00"/>
                <w:sz w:val="20"/>
              </w:rPr>
              <w:t xml:space="preserve">Core truth: </w:t>
            </w:r>
            <w:r>
              <w:rPr>
                <w:rFonts w:ascii="Calibri" w:hAnsi="Calibri"/>
                <w:color w:val="0B2545"/>
                <w:sz w:val="20"/>
              </w:rPr>
              <w:t>The policy set has to protect the actual service promise. Do not promise airline check-in, TSA clearance, DHL/cargo shipment, same-flight movement, background approval, insurance coverage, or privacy handling unless that exact lane is operationally true for the booking.</w:t>
            </w:r>
          </w:p>
        </w:tc>
      </w:tr>
    </w:tbl>
    <w:p>
      <w:pPr>
        <w:spacing w:after="40"/>
      </w:pPr>
    </w:p>
    <w:p>
      <w:pPr>
        <w:pStyle w:val="Heading1"/>
        <w:keepNext/>
      </w:pPr>
      <w:r>
        <w:t>1. How To Use This Packet</w:t>
      </w:r>
    </w:p>
    <w:p>
      <w:pPr>
        <w:spacing w:before="0" w:after="120" w:line="300" w:lineRule="auto"/>
      </w:pPr>
      <w:r>
        <w:rPr>
          <w:rFonts w:ascii="Calibri" w:hAnsi="Calibri"/>
          <w:color w:val="0B2545"/>
          <w:sz w:val="22"/>
        </w:rPr>
        <w:t>This packet is the paper baseline for launch operations. It turns the website summaries and admin/driver workflow into policies that staff can follow, customers can understand, and partners can review. It is written for practical launch control, not to replace counsel, insurance, airport, airline, TSA, FAA, payment, or vendor review.</w:t>
      </w:r>
    </w:p>
    <w:p>
      <w:pPr>
        <w:pStyle w:val="ListBullet"/>
        <w:spacing w:before="0" w:after="80" w:line="300" w:lineRule="auto"/>
        <w:ind w:left="540" w:hanging="271"/>
      </w:pPr>
      <w:r>
        <w:rPr>
          <w:rFonts w:ascii="Calibri" w:hAnsi="Calibri"/>
          <w:color w:val="0B2545"/>
          <w:sz w:val="21"/>
        </w:rPr>
        <w:t>Use it before a live test with Mo, a driver, a customer, or a partner.</w:t>
      </w:r>
    </w:p>
    <w:p>
      <w:pPr>
        <w:pStyle w:val="ListBullet"/>
        <w:spacing w:before="0" w:after="80" w:line="300" w:lineRule="auto"/>
        <w:ind w:left="540" w:hanging="271"/>
      </w:pPr>
      <w:r>
        <w:rPr>
          <w:rFonts w:ascii="Calibri" w:hAnsi="Calibri"/>
          <w:color w:val="0B2545"/>
          <w:sz w:val="21"/>
        </w:rPr>
        <w:t>Use it to decide whether a booking is ready, blocked, refundable, claimable, or unsafe.</w:t>
      </w:r>
    </w:p>
    <w:p>
      <w:pPr>
        <w:pStyle w:val="ListBullet"/>
        <w:spacing w:before="0" w:after="80" w:line="300" w:lineRule="auto"/>
        <w:ind w:left="540" w:hanging="271"/>
      </w:pPr>
      <w:r>
        <w:rPr>
          <w:rFonts w:ascii="Calibri" w:hAnsi="Calibri"/>
          <w:color w:val="0B2545"/>
          <w:sz w:val="21"/>
        </w:rPr>
        <w:t>Use it to keep public website language, App Store privacy answers, and internal workflow aligned.</w:t>
      </w:r>
    </w:p>
    <w:p>
      <w:pPr>
        <w:pStyle w:val="ListBullet"/>
        <w:spacing w:before="0" w:after="80" w:line="300" w:lineRule="auto"/>
        <w:ind w:left="540" w:hanging="271"/>
      </w:pPr>
      <w:r>
        <w:rPr>
          <w:rFonts w:ascii="Calibri" w:hAnsi="Calibri"/>
          <w:color w:val="0B2545"/>
          <w:sz w:val="21"/>
        </w:rPr>
        <w:t>Update it after carrier partner terms, insurance policy, and background-check/MFA vendor flows are finalized.</w:t>
      </w:r>
    </w:p>
    <w:p>
      <w:pPr>
        <w:pStyle w:val="Heading1"/>
        <w:keepNext/>
      </w:pPr>
      <w:r>
        <w:t>2. Policy And Document Inventory</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000"/>
        <w:gridCol w:w="2050"/>
        <w:gridCol w:w="3650"/>
        <w:gridCol w:w="1660"/>
      </w:tblGrid>
      <w:tr>
        <w:tc>
          <w:tcPr>
            <w:tcW w:type="dxa" w:w="20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Doc / policy</w:t>
            </w:r>
          </w:p>
        </w:tc>
        <w:tc>
          <w:tcPr>
            <w:tcW w:type="dxa" w:w="205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Where it lives</w:t>
            </w:r>
          </w:p>
        </w:tc>
        <w:tc>
          <w:tcPr>
            <w:tcW w:type="dxa" w:w="365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Current role</w:t>
            </w:r>
          </w:p>
        </w:tc>
        <w:tc>
          <w:tcPr>
            <w:tcW w:type="dxa" w:w="166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Next action</w:t>
            </w:r>
          </w:p>
        </w:tc>
      </w:tr>
      <w:tr>
        <w:tc>
          <w:tcPr>
            <w:tcW w:type="dxa" w:w="2000"/>
          </w:tcPr>
          <w:p>
            <w:pPr>
              <w:spacing w:before="0" w:after="0" w:line="276" w:lineRule="auto"/>
            </w:pPr>
            <w:r/>
            <w:r>
              <w:rPr>
                <w:rFonts w:ascii="Calibri" w:hAnsi="Calibri"/>
                <w:b w:val="0"/>
                <w:color w:val="0B2545"/>
                <w:sz w:val="16"/>
              </w:rPr>
              <w:t>Privacy Policy</w:t>
            </w:r>
          </w:p>
        </w:tc>
        <w:tc>
          <w:tcPr>
            <w:tcW w:type="dxa" w:w="2050"/>
          </w:tcPr>
          <w:p>
            <w:pPr>
              <w:spacing w:before="0" w:after="0" w:line="276" w:lineRule="auto"/>
            </w:pPr>
            <w:r/>
            <w:r>
              <w:rPr>
                <w:rFonts w:ascii="Calibri" w:hAnsi="Calibri"/>
                <w:b w:val="0"/>
                <w:color w:val="0B2545"/>
                <w:sz w:val="16"/>
              </w:rPr>
              <w:t>Public: /privacy</w:t>
            </w:r>
          </w:p>
        </w:tc>
        <w:tc>
          <w:tcPr>
            <w:tcW w:type="dxa" w:w="3650"/>
          </w:tcPr>
          <w:p>
            <w:pPr>
              <w:spacing w:before="0" w:after="0" w:line="276" w:lineRule="auto"/>
            </w:pPr>
            <w:r/>
            <w:r>
              <w:rPr>
                <w:rFonts w:ascii="Calibri" w:hAnsi="Calibri"/>
                <w:b w:val="0"/>
                <w:color w:val="0B2545"/>
                <w:sz w:val="16"/>
              </w:rPr>
              <w:t>Explains collected data, uses, sharing, retention, AI/automation, deletion, and privacy rights.</w:t>
            </w:r>
          </w:p>
        </w:tc>
        <w:tc>
          <w:tcPr>
            <w:tcW w:type="dxa" w:w="1660"/>
          </w:tcPr>
          <w:p>
            <w:pPr>
              <w:spacing w:before="0" w:after="0" w:line="276" w:lineRule="auto"/>
            </w:pPr>
            <w:r/>
            <w:r>
              <w:rPr>
                <w:rFonts w:ascii="Calibri" w:hAnsi="Calibri"/>
                <w:b w:val="0"/>
                <w:color w:val="0B2545"/>
                <w:sz w:val="16"/>
              </w:rPr>
              <w:t>Counsel review; keep App Store privacy answers matched to actual collection.</w:t>
            </w:r>
          </w:p>
        </w:tc>
      </w:tr>
      <w:tr>
        <w:tc>
          <w:tcPr>
            <w:tcW w:type="dxa" w:w="2000"/>
          </w:tcPr>
          <w:p>
            <w:pPr>
              <w:spacing w:before="0" w:after="0" w:line="276" w:lineRule="auto"/>
            </w:pPr>
            <w:r/>
            <w:r>
              <w:rPr>
                <w:rFonts w:ascii="Calibri" w:hAnsi="Calibri"/>
                <w:b w:val="0"/>
                <w:color w:val="0B2545"/>
                <w:sz w:val="16"/>
              </w:rPr>
              <w:t>Terms of Service</w:t>
            </w:r>
          </w:p>
        </w:tc>
        <w:tc>
          <w:tcPr>
            <w:tcW w:type="dxa" w:w="2050"/>
          </w:tcPr>
          <w:p>
            <w:pPr>
              <w:spacing w:before="0" w:after="0" w:line="276" w:lineRule="auto"/>
            </w:pPr>
            <w:r/>
            <w:r>
              <w:rPr>
                <w:rFonts w:ascii="Calibri" w:hAnsi="Calibri"/>
                <w:b w:val="0"/>
                <w:color w:val="0B2545"/>
                <w:sz w:val="16"/>
              </w:rPr>
              <w:t>Public: /terms</w:t>
            </w:r>
          </w:p>
        </w:tc>
        <w:tc>
          <w:tcPr>
            <w:tcW w:type="dxa" w:w="3650"/>
          </w:tcPr>
          <w:p>
            <w:pPr>
              <w:spacing w:before="0" w:after="0" w:line="276" w:lineRule="auto"/>
            </w:pPr>
            <w:r/>
            <w:r>
              <w:rPr>
                <w:rFonts w:ascii="Calibri" w:hAnsi="Calibri"/>
                <w:b w:val="0"/>
                <w:color w:val="0B2545"/>
                <w:sz w:val="16"/>
              </w:rPr>
              <w:t>Plain-language customer service baseline, restricted items, coverage, AI limitations, payment and launch status.</w:t>
            </w:r>
          </w:p>
        </w:tc>
        <w:tc>
          <w:tcPr>
            <w:tcW w:type="dxa" w:w="1660"/>
          </w:tcPr>
          <w:p>
            <w:pPr>
              <w:spacing w:before="0" w:after="0" w:line="276" w:lineRule="auto"/>
            </w:pPr>
            <w:r/>
            <w:r>
              <w:rPr>
                <w:rFonts w:ascii="Calibri" w:hAnsi="Calibri"/>
                <w:b w:val="0"/>
                <w:color w:val="0B2545"/>
                <w:sz w:val="16"/>
              </w:rPr>
              <w:t>Expand into counsel-final terms before scaled paid launch.</w:t>
            </w:r>
          </w:p>
        </w:tc>
      </w:tr>
      <w:tr>
        <w:tc>
          <w:tcPr>
            <w:tcW w:type="dxa" w:w="2000"/>
          </w:tcPr>
          <w:p>
            <w:pPr>
              <w:spacing w:before="0" w:after="0" w:line="276" w:lineRule="auto"/>
            </w:pPr>
            <w:r/>
            <w:r>
              <w:rPr>
                <w:rFonts w:ascii="Calibri" w:hAnsi="Calibri"/>
                <w:b w:val="0"/>
                <w:color w:val="0B2545"/>
                <w:sz w:val="16"/>
              </w:rPr>
              <w:t>Prohibited Items</w:t>
            </w:r>
          </w:p>
        </w:tc>
        <w:tc>
          <w:tcPr>
            <w:tcW w:type="dxa" w:w="2050"/>
          </w:tcPr>
          <w:p>
            <w:pPr>
              <w:spacing w:before="0" w:after="0" w:line="276" w:lineRule="auto"/>
            </w:pPr>
            <w:r/>
            <w:r>
              <w:rPr>
                <w:rFonts w:ascii="Calibri" w:hAnsi="Calibri"/>
                <w:b w:val="0"/>
                <w:color w:val="0B2545"/>
                <w:sz w:val="16"/>
              </w:rPr>
              <w:t>Public: /prohibited-items</w:t>
            </w:r>
          </w:p>
        </w:tc>
        <w:tc>
          <w:tcPr>
            <w:tcW w:type="dxa" w:w="3650"/>
          </w:tcPr>
          <w:p>
            <w:pPr>
              <w:spacing w:before="0" w:after="0" w:line="276" w:lineRule="auto"/>
            </w:pPr>
            <w:r/>
            <w:r>
              <w:rPr>
                <w:rFonts w:ascii="Calibri" w:hAnsi="Calibri"/>
                <w:b w:val="0"/>
                <w:color w:val="0B2545"/>
                <w:sz w:val="16"/>
              </w:rPr>
              <w:t>Customer-facing bag safety and refusal list.</w:t>
            </w:r>
          </w:p>
        </w:tc>
        <w:tc>
          <w:tcPr>
            <w:tcW w:type="dxa" w:w="1660"/>
          </w:tcPr>
          <w:p>
            <w:pPr>
              <w:spacing w:before="0" w:after="0" w:line="276" w:lineRule="auto"/>
            </w:pPr>
            <w:r/>
            <w:r>
              <w:rPr>
                <w:rFonts w:ascii="Calibri" w:hAnsi="Calibri"/>
                <w:b w:val="0"/>
                <w:color w:val="0B2545"/>
                <w:sz w:val="16"/>
              </w:rPr>
              <w:t>Quarterly TSA/FAA/airline/vendor review.</w:t>
            </w:r>
          </w:p>
        </w:tc>
      </w:tr>
      <w:tr>
        <w:tc>
          <w:tcPr>
            <w:tcW w:type="dxa" w:w="2000"/>
          </w:tcPr>
          <w:p>
            <w:pPr>
              <w:spacing w:before="0" w:after="0" w:line="276" w:lineRule="auto"/>
            </w:pPr>
            <w:r/>
            <w:r>
              <w:rPr>
                <w:rFonts w:ascii="Calibri" w:hAnsi="Calibri"/>
                <w:b w:val="0"/>
                <w:color w:val="0B2545"/>
                <w:sz w:val="16"/>
              </w:rPr>
              <w:t>Service / Shipping Policy</w:t>
            </w:r>
          </w:p>
        </w:tc>
        <w:tc>
          <w:tcPr>
            <w:tcW w:type="dxa" w:w="2050"/>
          </w:tcPr>
          <w:p>
            <w:pPr>
              <w:spacing w:before="0" w:after="0" w:line="276" w:lineRule="auto"/>
            </w:pPr>
            <w:r/>
            <w:r>
              <w:rPr>
                <w:rFonts w:ascii="Calibri" w:hAnsi="Calibri"/>
                <w:b w:val="0"/>
                <w:color w:val="0B2545"/>
                <w:sz w:val="16"/>
              </w:rPr>
              <w:t>This packet</w:t>
            </w:r>
          </w:p>
        </w:tc>
        <w:tc>
          <w:tcPr>
            <w:tcW w:type="dxa" w:w="3650"/>
          </w:tcPr>
          <w:p>
            <w:pPr>
              <w:spacing w:before="0" w:after="0" w:line="276" w:lineRule="auto"/>
            </w:pPr>
            <w:r/>
            <w:r>
              <w:rPr>
                <w:rFonts w:ascii="Calibri" w:hAnsi="Calibri"/>
                <w:b w:val="0"/>
                <w:color w:val="0B2545"/>
                <w:sz w:val="16"/>
              </w:rPr>
              <w:t>Defines what Travelyt means by service, custody, handoff, shipping, booking control, and carrier/cargo lanes.</w:t>
            </w:r>
          </w:p>
        </w:tc>
        <w:tc>
          <w:tcPr>
            <w:tcW w:type="dxa" w:w="1660"/>
          </w:tcPr>
          <w:p>
            <w:pPr>
              <w:spacing w:before="0" w:after="0" w:line="276" w:lineRule="auto"/>
            </w:pPr>
            <w:r/>
            <w:r>
              <w:rPr>
                <w:rFonts w:ascii="Calibri" w:hAnsi="Calibri"/>
                <w:b w:val="0"/>
                <w:color w:val="0B2545"/>
                <w:sz w:val="16"/>
              </w:rPr>
              <w:t>Create public /shipping or /service-policy page when final.</w:t>
            </w:r>
          </w:p>
        </w:tc>
      </w:tr>
      <w:tr>
        <w:tc>
          <w:tcPr>
            <w:tcW w:type="dxa" w:w="2000"/>
          </w:tcPr>
          <w:p>
            <w:pPr>
              <w:spacing w:before="0" w:after="0" w:line="276" w:lineRule="auto"/>
            </w:pPr>
            <w:r/>
            <w:r>
              <w:rPr>
                <w:rFonts w:ascii="Calibri" w:hAnsi="Calibri"/>
                <w:b w:val="0"/>
                <w:color w:val="0B2545"/>
                <w:sz w:val="16"/>
              </w:rPr>
              <w:t>Refunds / Claims</w:t>
            </w:r>
          </w:p>
        </w:tc>
        <w:tc>
          <w:tcPr>
            <w:tcW w:type="dxa" w:w="2050"/>
          </w:tcPr>
          <w:p>
            <w:pPr>
              <w:spacing w:before="0" w:after="0" w:line="276" w:lineRule="auto"/>
            </w:pPr>
            <w:r/>
            <w:r>
              <w:rPr>
                <w:rFonts w:ascii="Calibri" w:hAnsi="Calibri"/>
                <w:b w:val="0"/>
                <w:color w:val="0B2545"/>
                <w:sz w:val="16"/>
              </w:rPr>
              <w:t>This packet + /terms</w:t>
            </w:r>
          </w:p>
        </w:tc>
        <w:tc>
          <w:tcPr>
            <w:tcW w:type="dxa" w:w="3650"/>
          </w:tcPr>
          <w:p>
            <w:pPr>
              <w:spacing w:before="0" w:after="0" w:line="276" w:lineRule="auto"/>
            </w:pPr>
            <w:r/>
            <w:r>
              <w:rPr>
                <w:rFonts w:ascii="Calibri" w:hAnsi="Calibri"/>
                <w:b w:val="0"/>
                <w:color w:val="0B2545"/>
                <w:sz w:val="16"/>
              </w:rPr>
              <w:t>Launch-stage refund, cancellation, loss, damage, incident, and coverage handling.</w:t>
            </w:r>
          </w:p>
        </w:tc>
        <w:tc>
          <w:tcPr>
            <w:tcW w:type="dxa" w:w="1660"/>
          </w:tcPr>
          <w:p>
            <w:pPr>
              <w:spacing w:before="0" w:after="0" w:line="276" w:lineRule="auto"/>
            </w:pPr>
            <w:r/>
            <w:r>
              <w:rPr>
                <w:rFonts w:ascii="Calibri" w:hAnsi="Calibri"/>
                <w:b w:val="0"/>
                <w:color w:val="0B2545"/>
                <w:sz w:val="16"/>
              </w:rPr>
              <w:t>Confirm insurance carrier, coverage cap, timelines, and claim forms.</w:t>
            </w:r>
          </w:p>
        </w:tc>
      </w:tr>
      <w:tr>
        <w:tc>
          <w:tcPr>
            <w:tcW w:type="dxa" w:w="2000"/>
          </w:tcPr>
          <w:p>
            <w:pPr>
              <w:spacing w:before="0" w:after="0" w:line="276" w:lineRule="auto"/>
            </w:pPr>
            <w:r/>
            <w:r>
              <w:rPr>
                <w:rFonts w:ascii="Calibri" w:hAnsi="Calibri"/>
                <w:b w:val="0"/>
                <w:color w:val="0B2545"/>
                <w:sz w:val="16"/>
              </w:rPr>
              <w:t>Driver/Admin Workflow</w:t>
            </w:r>
          </w:p>
        </w:tc>
        <w:tc>
          <w:tcPr>
            <w:tcW w:type="dxa" w:w="2050"/>
          </w:tcPr>
          <w:p>
            <w:pPr>
              <w:spacing w:before="0" w:after="0" w:line="276" w:lineRule="auto"/>
            </w:pPr>
            <w:r/>
            <w:r>
              <w:rPr>
                <w:rFonts w:ascii="Calibri" w:hAnsi="Calibri"/>
                <w:b w:val="0"/>
                <w:color w:val="0B2545"/>
                <w:sz w:val="16"/>
              </w:rPr>
              <w:t>Doc 17 + this packet</w:t>
            </w:r>
          </w:p>
        </w:tc>
        <w:tc>
          <w:tcPr>
            <w:tcW w:type="dxa" w:w="3650"/>
          </w:tcPr>
          <w:p>
            <w:pPr>
              <w:spacing w:before="0" w:after="0" w:line="276" w:lineRule="auto"/>
            </w:pPr>
            <w:r/>
            <w:r>
              <w:rPr>
                <w:rFonts w:ascii="Calibri" w:hAnsi="Calibri"/>
                <w:b w:val="0"/>
                <w:color w:val="0B2545"/>
                <w:sz w:val="16"/>
              </w:rPr>
              <w:t>Admin access, driver codes, assignment, status path, proof/GPS checks, stale-code handling.</w:t>
            </w:r>
          </w:p>
        </w:tc>
        <w:tc>
          <w:tcPr>
            <w:tcW w:type="dxa" w:w="1660"/>
          </w:tcPr>
          <w:p>
            <w:pPr>
              <w:spacing w:before="0" w:after="0" w:line="276" w:lineRule="auto"/>
            </w:pPr>
            <w:r/>
            <w:r>
              <w:rPr>
                <w:rFonts w:ascii="Calibri" w:hAnsi="Calibri"/>
                <w:b w:val="0"/>
                <w:color w:val="0B2545"/>
                <w:sz w:val="16"/>
              </w:rPr>
              <w:t>Replace manual approval with a real driver review queue when built.</w:t>
            </w:r>
          </w:p>
        </w:tc>
      </w:tr>
      <w:tr>
        <w:tc>
          <w:tcPr>
            <w:tcW w:type="dxa" w:w="2000"/>
          </w:tcPr>
          <w:p>
            <w:pPr>
              <w:spacing w:before="0" w:after="0" w:line="276" w:lineRule="auto"/>
            </w:pPr>
            <w:r/>
            <w:r>
              <w:rPr>
                <w:rFonts w:ascii="Calibri" w:hAnsi="Calibri"/>
                <w:b w:val="0"/>
                <w:color w:val="0B2545"/>
                <w:sz w:val="16"/>
              </w:rPr>
              <w:t>Incident Report</w:t>
            </w:r>
          </w:p>
        </w:tc>
        <w:tc>
          <w:tcPr>
            <w:tcW w:type="dxa" w:w="2050"/>
          </w:tcPr>
          <w:p>
            <w:pPr>
              <w:spacing w:before="0" w:after="0" w:line="276" w:lineRule="auto"/>
            </w:pPr>
            <w:r/>
            <w:r>
              <w:rPr>
                <w:rFonts w:ascii="Calibri" w:hAnsi="Calibri"/>
                <w:b w:val="0"/>
                <w:color w:val="0B2545"/>
                <w:sz w:val="16"/>
              </w:rPr>
              <w:t>This packet</w:t>
            </w:r>
          </w:p>
        </w:tc>
        <w:tc>
          <w:tcPr>
            <w:tcW w:type="dxa" w:w="3650"/>
          </w:tcPr>
          <w:p>
            <w:pPr>
              <w:spacing w:before="0" w:after="0" w:line="276" w:lineRule="auto"/>
            </w:pPr>
            <w:r/>
            <w:r>
              <w:rPr>
                <w:rFonts w:ascii="Calibri" w:hAnsi="Calibri"/>
                <w:b w:val="0"/>
                <w:color w:val="0B2545"/>
                <w:sz w:val="16"/>
              </w:rPr>
              <w:t>Paper form for missed pickup, prohibited item, damage, lost bag, bad proof, stale code, or privacy issue.</w:t>
            </w:r>
          </w:p>
        </w:tc>
        <w:tc>
          <w:tcPr>
            <w:tcW w:type="dxa" w:w="1660"/>
          </w:tcPr>
          <w:p>
            <w:pPr>
              <w:spacing w:before="0" w:after="0" w:line="276" w:lineRule="auto"/>
            </w:pPr>
            <w:r/>
            <w:r>
              <w:rPr>
                <w:rFonts w:ascii="Calibri" w:hAnsi="Calibri"/>
                <w:b w:val="0"/>
                <w:color w:val="0B2545"/>
                <w:sz w:val="16"/>
              </w:rPr>
              <w:t>Build admin incident form when ready.</w:t>
            </w:r>
          </w:p>
        </w:tc>
      </w:tr>
    </w:tbl>
    <w:p>
      <w:pPr>
        <w:spacing w:after="80"/>
      </w:pPr>
    </w:p>
    <w:p>
      <w:r>
        <w:br w:type="page"/>
      </w:r>
    </w:p>
    <w:p>
      <w:pPr>
        <w:pStyle w:val="Heading1"/>
        <w:keepNext/>
      </w:pPr>
      <w:r>
        <w:t>3. Service, Shipping, And Custody Policy</w:t>
      </w: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100"/>
        <w:gridCol w:w="7260"/>
      </w:tblGrid>
      <w:tr>
        <w:tc>
          <w:tcPr>
            <w:tcW w:type="dxa" w:w="2100"/>
            <w:shd w:fill="F2F4F7"/>
          </w:tcPr>
          <w:p>
            <w:pPr>
              <w:spacing w:before="0" w:after="0" w:line="276" w:lineRule="auto"/>
            </w:pPr>
            <w:r/>
            <w:r>
              <w:rPr>
                <w:rFonts w:ascii="Calibri" w:hAnsi="Calibri"/>
                <w:b/>
                <w:color w:val="1F4D78"/>
                <w:sz w:val="19"/>
              </w:rPr>
              <w:t>Owner</w:t>
            </w:r>
          </w:p>
        </w:tc>
        <w:tc>
          <w:tcPr>
            <w:tcW w:type="dxa" w:w="7260"/>
          </w:tcPr>
          <w:p>
            <w:pPr>
              <w:spacing w:before="0" w:after="0" w:line="276" w:lineRule="auto"/>
            </w:pPr>
            <w:r/>
            <w:r>
              <w:rPr>
                <w:rFonts w:ascii="Calibri" w:hAnsi="Calibri"/>
                <w:b w:val="0"/>
                <w:color w:val="0B2545"/>
                <w:sz w:val="19"/>
              </w:rPr>
              <w:t>Operations / dispatch</w:t>
            </w:r>
          </w:p>
        </w:tc>
      </w:tr>
      <w:tr>
        <w:tc>
          <w:tcPr>
            <w:tcW w:type="dxa" w:w="2100"/>
            <w:shd w:fill="F2F4F7"/>
          </w:tcPr>
          <w:p>
            <w:pPr>
              <w:spacing w:before="0" w:after="0" w:line="276" w:lineRule="auto"/>
            </w:pPr>
            <w:r/>
            <w:r>
              <w:rPr>
                <w:rFonts w:ascii="Calibri" w:hAnsi="Calibri"/>
                <w:b/>
                <w:color w:val="1F4D78"/>
                <w:sz w:val="19"/>
              </w:rPr>
              <w:t>Public status</w:t>
            </w:r>
          </w:p>
        </w:tc>
        <w:tc>
          <w:tcPr>
            <w:tcW w:type="dxa" w:w="7260"/>
          </w:tcPr>
          <w:p>
            <w:pPr>
              <w:spacing w:before="0" w:after="0" w:line="276" w:lineRule="auto"/>
            </w:pPr>
            <w:r/>
            <w:r>
              <w:rPr>
                <w:rFonts w:ascii="Calibri" w:hAnsi="Calibri"/>
                <w:b w:val="0"/>
                <w:color w:val="0B2545"/>
                <w:sz w:val="19"/>
              </w:rPr>
              <w:t>Partly public through /terms and /prohibited-items; full shipping/service policy is paper-only today.</w:t>
            </w:r>
          </w:p>
        </w:tc>
      </w:tr>
      <w:tr>
        <w:tc>
          <w:tcPr>
            <w:tcW w:type="dxa" w:w="2100"/>
            <w:shd w:fill="F2F4F7"/>
          </w:tcPr>
          <w:p>
            <w:pPr>
              <w:spacing w:before="0" w:after="0" w:line="276" w:lineRule="auto"/>
            </w:pPr>
            <w:r/>
            <w:r>
              <w:rPr>
                <w:rFonts w:ascii="Calibri" w:hAnsi="Calibri"/>
                <w:b/>
                <w:color w:val="1F4D78"/>
                <w:sz w:val="19"/>
              </w:rPr>
              <w:t>Launch rule</w:t>
            </w:r>
          </w:p>
        </w:tc>
        <w:tc>
          <w:tcPr>
            <w:tcW w:type="dxa" w:w="7260"/>
          </w:tcPr>
          <w:p>
            <w:pPr>
              <w:spacing w:before="0" w:after="0" w:line="276" w:lineRule="auto"/>
            </w:pPr>
            <w:r/>
            <w:r>
              <w:rPr>
                <w:rFonts w:ascii="Calibri" w:hAnsi="Calibri"/>
                <w:b w:val="0"/>
                <w:color w:val="0B2545"/>
                <w:sz w:val="19"/>
              </w:rPr>
              <w:t>Use this as the operating rule today; have counsel/vendor partners review before scaled rollout.</w:t>
            </w:r>
          </w:p>
        </w:tc>
      </w:tr>
    </w:tbl>
    <w:p>
      <w:pPr>
        <w:spacing w:after="160"/>
      </w:pPr>
    </w:p>
    <w:p>
      <w:pPr>
        <w:spacing w:before="0" w:after="120" w:line="300" w:lineRule="auto"/>
      </w:pPr>
      <w:r>
        <w:rPr>
          <w:rFonts w:ascii="Calibri" w:hAnsi="Calibri"/>
          <w:color w:val="0B2545"/>
          <w:sz w:val="22"/>
        </w:rPr>
        <w:t>Travelyt should use the word shipping carefully. For customers, the normal launch service is luggage pickup, custody, tracking, airport handoff, airport release, or destination delivery. If a third-party carrier/cargo partner handles a leg, that leg needs its own carrier terms, tracking, liability, prohibited-items review, and customer disclosure.</w:t>
      </w:r>
    </w:p>
    <w:tbl>
      <w:tblPr>
        <w:tblW w:type="dxa" w:w="98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1700"/>
        <w:gridCol w:w="2950"/>
        <w:gridCol w:w="3300"/>
        <w:gridCol w:w="1910"/>
      </w:tblGrid>
      <w:tr>
        <w:tc>
          <w:tcPr>
            <w:tcW w:type="dxa" w:w="17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Lane</w:t>
            </w:r>
          </w:p>
        </w:tc>
        <w:tc>
          <w:tcPr>
            <w:tcW w:type="dxa" w:w="295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What it means</w:t>
            </w:r>
          </w:p>
        </w:tc>
        <w:tc>
          <w:tcPr>
            <w:tcW w:type="dxa" w:w="33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Allowed promise</w:t>
            </w:r>
          </w:p>
        </w:tc>
        <w:tc>
          <w:tcPr>
            <w:tcW w:type="dxa" w:w="191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Blocked promise</w:t>
            </w:r>
          </w:p>
        </w:tc>
      </w:tr>
      <w:tr>
        <w:tc>
          <w:tcPr>
            <w:tcW w:type="dxa" w:w="1700"/>
          </w:tcPr>
          <w:p>
            <w:pPr>
              <w:spacing w:before="0" w:after="0" w:line="276" w:lineRule="auto"/>
            </w:pPr>
            <w:r/>
            <w:r>
              <w:rPr>
                <w:rFonts w:ascii="Calibri" w:hAnsi="Calibri"/>
                <w:b w:val="0"/>
                <w:color w:val="0B2545"/>
                <w:sz w:val="15"/>
              </w:rPr>
              <w:t>Departure luggage service</w:t>
            </w:r>
          </w:p>
        </w:tc>
        <w:tc>
          <w:tcPr>
            <w:tcW w:type="dxa" w:w="2950"/>
          </w:tcPr>
          <w:p>
            <w:pPr>
              <w:spacing w:before="0" w:after="0" w:line="276" w:lineRule="auto"/>
            </w:pPr>
            <w:r/>
            <w:r>
              <w:rPr>
                <w:rFonts w:ascii="Calibri" w:hAnsi="Calibri"/>
                <w:b w:val="0"/>
                <w:color w:val="0B2545"/>
                <w:sz w:val="15"/>
              </w:rPr>
              <w:t>Travelyt picks up bags, verifies readiness, seals/weighs, drives to airport/authorized handoff point, and records proof.</w:t>
            </w:r>
          </w:p>
        </w:tc>
        <w:tc>
          <w:tcPr>
            <w:tcW w:type="dxa" w:w="3300"/>
          </w:tcPr>
          <w:p>
            <w:pPr>
              <w:spacing w:before="0" w:after="0" w:line="276" w:lineRule="auto"/>
            </w:pPr>
            <w:r/>
            <w:r>
              <w:rPr>
                <w:rFonts w:ascii="Calibri" w:hAnsi="Calibri"/>
                <w:b w:val="0"/>
                <w:color w:val="0B2545"/>
                <w:sz w:val="15"/>
              </w:rPr>
              <w:t>Travelyt coordinates pickup, custody, GPS/proof, and airport/airline handoff when confirmed.</w:t>
            </w:r>
          </w:p>
        </w:tc>
        <w:tc>
          <w:tcPr>
            <w:tcW w:type="dxa" w:w="1910"/>
          </w:tcPr>
          <w:p>
            <w:pPr>
              <w:spacing w:before="0" w:after="0" w:line="276" w:lineRule="auto"/>
            </w:pPr>
            <w:r/>
            <w:r>
              <w:rPr>
                <w:rFonts w:ascii="Calibri" w:hAnsi="Calibri"/>
                <w:b w:val="0"/>
                <w:color w:val="0B2545"/>
                <w:sz w:val="15"/>
              </w:rPr>
              <w:t>Do not promise the airline accepts the bag, TSA clears it, or the bag boards the customer's plane unless confirmed.</w:t>
            </w:r>
          </w:p>
        </w:tc>
      </w:tr>
      <w:tr>
        <w:tc>
          <w:tcPr>
            <w:tcW w:type="dxa" w:w="1700"/>
          </w:tcPr>
          <w:p>
            <w:pPr>
              <w:spacing w:before="0" w:after="0" w:line="276" w:lineRule="auto"/>
            </w:pPr>
            <w:r/>
            <w:r>
              <w:rPr>
                <w:rFonts w:ascii="Calibri" w:hAnsi="Calibri"/>
                <w:b w:val="0"/>
                <w:color w:val="0B2545"/>
                <w:sz w:val="15"/>
              </w:rPr>
              <w:t>Arrival luggage service</w:t>
            </w:r>
          </w:p>
        </w:tc>
        <w:tc>
          <w:tcPr>
            <w:tcW w:type="dxa" w:w="2950"/>
          </w:tcPr>
          <w:p>
            <w:pPr>
              <w:spacing w:before="0" w:after="0" w:line="276" w:lineRule="auto"/>
            </w:pPr>
            <w:r/>
            <w:r>
              <w:rPr>
                <w:rFonts w:ascii="Calibri" w:hAnsi="Calibri"/>
                <w:b w:val="0"/>
                <w:color w:val="0B2545"/>
                <w:sz w:val="15"/>
              </w:rPr>
              <w:t>Travelyt receives/retrieves a released bag and delivers it to customer or recipient.</w:t>
            </w:r>
          </w:p>
        </w:tc>
        <w:tc>
          <w:tcPr>
            <w:tcW w:type="dxa" w:w="3300"/>
          </w:tcPr>
          <w:p>
            <w:pPr>
              <w:spacing w:before="0" w:after="0" w:line="276" w:lineRule="auto"/>
            </w:pPr>
            <w:r/>
            <w:r>
              <w:rPr>
                <w:rFonts w:ascii="Calibri" w:hAnsi="Calibri"/>
                <w:b w:val="0"/>
                <w:color w:val="0B2545"/>
                <w:sz w:val="15"/>
              </w:rPr>
              <w:t>Travelyt records release, driver GPS, delivery proof, and customer/recipient closeout.</w:t>
            </w:r>
          </w:p>
        </w:tc>
        <w:tc>
          <w:tcPr>
            <w:tcW w:type="dxa" w:w="1910"/>
          </w:tcPr>
          <w:p>
            <w:pPr>
              <w:spacing w:before="0" w:after="0" w:line="276" w:lineRule="auto"/>
            </w:pPr>
            <w:r/>
            <w:r>
              <w:rPr>
                <w:rFonts w:ascii="Calibri" w:hAnsi="Calibri"/>
                <w:b w:val="0"/>
                <w:color w:val="0B2545"/>
                <w:sz w:val="15"/>
              </w:rPr>
              <w:t>Do not claim Travelyt controls airline baggage delivery delays.</w:t>
            </w:r>
          </w:p>
        </w:tc>
      </w:tr>
      <w:tr>
        <w:tc>
          <w:tcPr>
            <w:tcW w:type="dxa" w:w="1700"/>
          </w:tcPr>
          <w:p>
            <w:pPr>
              <w:spacing w:before="0" w:after="0" w:line="276" w:lineRule="auto"/>
            </w:pPr>
            <w:r/>
            <w:r>
              <w:rPr>
                <w:rFonts w:ascii="Calibri" w:hAnsi="Calibri"/>
                <w:b w:val="0"/>
                <w:color w:val="0B2545"/>
                <w:sz w:val="15"/>
              </w:rPr>
              <w:t>City-to-city / cargo / shipping lane</w:t>
            </w:r>
          </w:p>
        </w:tc>
        <w:tc>
          <w:tcPr>
            <w:tcW w:type="dxa" w:w="2950"/>
          </w:tcPr>
          <w:p>
            <w:pPr>
              <w:spacing w:before="0" w:after="0" w:line="276" w:lineRule="auto"/>
            </w:pPr>
            <w:r/>
            <w:r>
              <w:rPr>
                <w:rFonts w:ascii="Calibri" w:hAnsi="Calibri"/>
                <w:b w:val="0"/>
                <w:color w:val="0B2545"/>
                <w:sz w:val="15"/>
              </w:rPr>
              <w:t>A future or partner lane where bags are tendered to a regulated carrier or courier network.</w:t>
            </w:r>
          </w:p>
        </w:tc>
        <w:tc>
          <w:tcPr>
            <w:tcW w:type="dxa" w:w="3300"/>
          </w:tcPr>
          <w:p>
            <w:pPr>
              <w:spacing w:before="0" w:after="0" w:line="276" w:lineRule="auto"/>
            </w:pPr>
            <w:r/>
            <w:r>
              <w:rPr>
                <w:rFonts w:ascii="Calibri" w:hAnsi="Calibri"/>
                <w:b w:val="0"/>
                <w:color w:val="0B2545"/>
                <w:sz w:val="15"/>
              </w:rPr>
              <w:t>Only say this if the carrier agreement, label, tracking, liability, and restricted-item terms are active.</w:t>
            </w:r>
          </w:p>
        </w:tc>
        <w:tc>
          <w:tcPr>
            <w:tcW w:type="dxa" w:w="1910"/>
          </w:tcPr>
          <w:p>
            <w:pPr>
              <w:spacing w:before="0" w:after="0" w:line="276" w:lineRule="auto"/>
            </w:pPr>
            <w:r/>
            <w:r>
              <w:rPr>
                <w:rFonts w:ascii="Calibri" w:hAnsi="Calibri"/>
                <w:b w:val="0"/>
                <w:color w:val="0B2545"/>
                <w:sz w:val="15"/>
              </w:rPr>
              <w:t>Do not use DHL, carrier, IAC, TSA-regulated, or cargo language as marketing filler.</w:t>
            </w:r>
          </w:p>
        </w:tc>
      </w:tr>
    </w:tbl>
    <w:p>
      <w:pPr>
        <w:spacing w:after="80"/>
      </w:pPr>
    </w:p>
    <w:p>
      <w:pPr>
        <w:pStyle w:val="Heading2"/>
        <w:keepNext/>
      </w:pPr>
      <w:r>
        <w:t>Minimum Service Rules</w:t>
      </w:r>
    </w:p>
    <w:p>
      <w:pPr>
        <w:pStyle w:val="ListBullet"/>
        <w:spacing w:before="0" w:after="80" w:line="300" w:lineRule="auto"/>
        <w:ind w:left="540" w:hanging="271"/>
      </w:pPr>
      <w:r>
        <w:rPr>
          <w:rFonts w:ascii="Calibri" w:hAnsi="Calibri"/>
          <w:color w:val="0B2545"/>
          <w:sz w:val="21"/>
        </w:rPr>
        <w:t>No custody starts until admin can identify the customer/traveler, the bag, the service lane, and the next handoff.</w:t>
      </w:r>
    </w:p>
    <w:p>
      <w:pPr>
        <w:pStyle w:val="ListBullet"/>
        <w:spacing w:before="0" w:after="80" w:line="300" w:lineRule="auto"/>
        <w:ind w:left="540" w:hanging="271"/>
      </w:pPr>
      <w:r>
        <w:rPr>
          <w:rFonts w:ascii="Calibri" w:hAnsi="Calibri"/>
          <w:color w:val="0B2545"/>
          <w:sz w:val="21"/>
        </w:rPr>
        <w:t>Every bag needs a booking/reference ID, bag count, service type, pickup/release location, contact, timing window, and restricted-item attestation.</w:t>
      </w:r>
    </w:p>
    <w:p>
      <w:pPr>
        <w:pStyle w:val="ListBullet"/>
        <w:spacing w:before="0" w:after="80" w:line="300" w:lineRule="auto"/>
        <w:ind w:left="540" w:hanging="271"/>
      </w:pPr>
      <w:r>
        <w:rPr>
          <w:rFonts w:ascii="Calibri" w:hAnsi="Calibri"/>
          <w:color w:val="0B2545"/>
          <w:sz w:val="21"/>
        </w:rPr>
        <w:t>If service feasibility is uncertain, the booking stays pending or issue; it does not become assigned or in custody.</w:t>
      </w:r>
    </w:p>
    <w:p>
      <w:pPr>
        <w:pStyle w:val="ListBullet"/>
        <w:spacing w:before="0" w:after="80" w:line="300" w:lineRule="auto"/>
        <w:ind w:left="540" w:hanging="271"/>
      </w:pPr>
      <w:r>
        <w:rPr>
          <w:rFonts w:ascii="Calibri" w:hAnsi="Calibri"/>
          <w:color w:val="0B2545"/>
          <w:sz w:val="21"/>
        </w:rPr>
        <w:t>If the job involves an airline, airport, carrier, DHL, cargo, TSA, or regulated partner handoff, staff must confirm the current partner process before telling the customer the step is guaranteed.</w:t>
      </w:r>
    </w:p>
    <w:p>
      <w:pPr>
        <w:pStyle w:val="Heading1"/>
        <w:keepNext/>
      </w:pPr>
      <w:r>
        <w:t>4. Privacy And Data Handling Policy</w:t>
      </w: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100"/>
        <w:gridCol w:w="7260"/>
      </w:tblGrid>
      <w:tr>
        <w:tc>
          <w:tcPr>
            <w:tcW w:type="dxa" w:w="2100"/>
            <w:shd w:fill="F2F4F7"/>
          </w:tcPr>
          <w:p>
            <w:pPr>
              <w:spacing w:before="0" w:after="0" w:line="276" w:lineRule="auto"/>
            </w:pPr>
            <w:r/>
            <w:r>
              <w:rPr>
                <w:rFonts w:ascii="Calibri" w:hAnsi="Calibri"/>
                <w:b/>
                <w:color w:val="1F4D78"/>
                <w:sz w:val="19"/>
              </w:rPr>
              <w:t>Owner</w:t>
            </w:r>
          </w:p>
        </w:tc>
        <w:tc>
          <w:tcPr>
            <w:tcW w:type="dxa" w:w="7260"/>
          </w:tcPr>
          <w:p>
            <w:pPr>
              <w:spacing w:before="0" w:after="0" w:line="276" w:lineRule="auto"/>
            </w:pPr>
            <w:r/>
            <w:r>
              <w:rPr>
                <w:rFonts w:ascii="Calibri" w:hAnsi="Calibri"/>
                <w:b w:val="0"/>
                <w:color w:val="0B2545"/>
                <w:sz w:val="19"/>
              </w:rPr>
              <w:t>Privacy owner / admin</w:t>
            </w:r>
          </w:p>
        </w:tc>
      </w:tr>
      <w:tr>
        <w:tc>
          <w:tcPr>
            <w:tcW w:type="dxa" w:w="2100"/>
            <w:shd w:fill="F2F4F7"/>
          </w:tcPr>
          <w:p>
            <w:pPr>
              <w:spacing w:before="0" w:after="0" w:line="276" w:lineRule="auto"/>
            </w:pPr>
            <w:r/>
            <w:r>
              <w:rPr>
                <w:rFonts w:ascii="Calibri" w:hAnsi="Calibri"/>
                <w:b/>
                <w:color w:val="1F4D78"/>
                <w:sz w:val="19"/>
              </w:rPr>
              <w:t>Public status</w:t>
            </w:r>
          </w:p>
        </w:tc>
        <w:tc>
          <w:tcPr>
            <w:tcW w:type="dxa" w:w="7260"/>
          </w:tcPr>
          <w:p>
            <w:pPr>
              <w:spacing w:before="0" w:after="0" w:line="276" w:lineRule="auto"/>
            </w:pPr>
            <w:r/>
            <w:r>
              <w:rPr>
                <w:rFonts w:ascii="Calibri" w:hAnsi="Calibri"/>
                <w:b w:val="0"/>
                <w:color w:val="0B2545"/>
                <w:sz w:val="19"/>
              </w:rPr>
              <w:t>Public through /privacy; required for App Store privacy link.</w:t>
            </w:r>
          </w:p>
        </w:tc>
      </w:tr>
      <w:tr>
        <w:tc>
          <w:tcPr>
            <w:tcW w:type="dxa" w:w="2100"/>
            <w:shd w:fill="F2F4F7"/>
          </w:tcPr>
          <w:p>
            <w:pPr>
              <w:spacing w:before="0" w:after="0" w:line="276" w:lineRule="auto"/>
            </w:pPr>
            <w:r/>
            <w:r>
              <w:rPr>
                <w:rFonts w:ascii="Calibri" w:hAnsi="Calibri"/>
                <w:b/>
                <w:color w:val="1F4D78"/>
                <w:sz w:val="19"/>
              </w:rPr>
              <w:t>Launch rule</w:t>
            </w:r>
          </w:p>
        </w:tc>
        <w:tc>
          <w:tcPr>
            <w:tcW w:type="dxa" w:w="7260"/>
          </w:tcPr>
          <w:p>
            <w:pPr>
              <w:spacing w:before="0" w:after="0" w:line="276" w:lineRule="auto"/>
            </w:pPr>
            <w:r/>
            <w:r>
              <w:rPr>
                <w:rFonts w:ascii="Calibri" w:hAnsi="Calibri"/>
                <w:b w:val="0"/>
                <w:color w:val="0B2545"/>
                <w:sz w:val="19"/>
              </w:rPr>
              <w:t>Use this as the operating rule today; have counsel/vendor partners review before scaled rollout.</w:t>
            </w:r>
          </w:p>
        </w:tc>
      </w:tr>
    </w:tbl>
    <w:p>
      <w:pPr>
        <w:spacing w:after="160"/>
      </w:pPr>
    </w:p>
    <w:p>
      <w:pPr>
        <w:spacing w:before="0" w:after="120" w:line="300" w:lineRule="auto"/>
      </w:pPr>
      <w:r>
        <w:rPr>
          <w:rFonts w:ascii="Calibri" w:hAnsi="Calibri"/>
          <w:color w:val="0B2545"/>
          <w:sz w:val="22"/>
        </w:rPr>
        <w:t>Travelyt collects data because the service depends on identity, route, bag, payment, contact, proof, and custody records. The privacy policy must match the real app, App Store answers, and vendor behavior. It cannot be aspirational.</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1600"/>
        <w:gridCol w:w="2700"/>
        <w:gridCol w:w="2500"/>
        <w:gridCol w:w="2560"/>
      </w:tblGrid>
      <w:tr>
        <w:tc>
          <w:tcPr>
            <w:tcW w:type="dxa" w:w="16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Data type</w:t>
            </w:r>
          </w:p>
        </w:tc>
        <w:tc>
          <w:tcPr>
            <w:tcW w:type="dxa" w:w="27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Examples</w:t>
            </w:r>
          </w:p>
        </w:tc>
        <w:tc>
          <w:tcPr>
            <w:tcW w:type="dxa" w:w="25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Use</w:t>
            </w:r>
          </w:p>
        </w:tc>
        <w:tc>
          <w:tcPr>
            <w:tcW w:type="dxa" w:w="256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Handling rule</w:t>
            </w:r>
          </w:p>
        </w:tc>
      </w:tr>
      <w:tr>
        <w:tc>
          <w:tcPr>
            <w:tcW w:type="dxa" w:w="1600"/>
          </w:tcPr>
          <w:p>
            <w:pPr>
              <w:spacing w:before="0" w:after="0" w:line="276" w:lineRule="auto"/>
            </w:pPr>
            <w:r/>
            <w:r>
              <w:rPr>
                <w:rFonts w:ascii="Calibri" w:hAnsi="Calibri"/>
                <w:b w:val="0"/>
                <w:color w:val="0B2545"/>
                <w:sz w:val="15"/>
              </w:rPr>
              <w:t>Identifiers/contact</w:t>
            </w:r>
          </w:p>
        </w:tc>
        <w:tc>
          <w:tcPr>
            <w:tcW w:type="dxa" w:w="2700"/>
          </w:tcPr>
          <w:p>
            <w:pPr>
              <w:spacing w:before="0" w:after="0" w:line="276" w:lineRule="auto"/>
            </w:pPr>
            <w:r/>
            <w:r>
              <w:rPr>
                <w:rFonts w:ascii="Calibri" w:hAnsi="Calibri"/>
                <w:b w:val="0"/>
                <w:color w:val="0B2545"/>
                <w:sz w:val="15"/>
              </w:rPr>
              <w:t>Name, email, optional phone, account details.</w:t>
            </w:r>
          </w:p>
        </w:tc>
        <w:tc>
          <w:tcPr>
            <w:tcW w:type="dxa" w:w="2500"/>
          </w:tcPr>
          <w:p>
            <w:pPr>
              <w:spacing w:before="0" w:after="0" w:line="276" w:lineRule="auto"/>
            </w:pPr>
            <w:r/>
            <w:r>
              <w:rPr>
                <w:rFonts w:ascii="Calibri" w:hAnsi="Calibri"/>
                <w:b w:val="0"/>
                <w:color w:val="0B2545"/>
                <w:sz w:val="15"/>
              </w:rPr>
              <w:t>Quote, booking, support, status updates, account access.</w:t>
            </w:r>
          </w:p>
        </w:tc>
        <w:tc>
          <w:tcPr>
            <w:tcW w:type="dxa" w:w="2560"/>
          </w:tcPr>
          <w:p>
            <w:pPr>
              <w:spacing w:before="0" w:after="0" w:line="276" w:lineRule="auto"/>
            </w:pPr>
            <w:r/>
            <w:r>
              <w:rPr>
                <w:rFonts w:ascii="Calibri" w:hAnsi="Calibri"/>
                <w:b w:val="0"/>
                <w:color w:val="0B2545"/>
                <w:sz w:val="15"/>
              </w:rPr>
              <w:t>Collect only what the workflow needs; phone stays optional unless a real service step requires it.</w:t>
            </w:r>
          </w:p>
        </w:tc>
      </w:tr>
      <w:tr>
        <w:tc>
          <w:tcPr>
            <w:tcW w:type="dxa" w:w="1600"/>
          </w:tcPr>
          <w:p>
            <w:pPr>
              <w:spacing w:before="0" w:after="0" w:line="276" w:lineRule="auto"/>
            </w:pPr>
            <w:r/>
            <w:r>
              <w:rPr>
                <w:rFonts w:ascii="Calibri" w:hAnsi="Calibri"/>
                <w:b w:val="0"/>
                <w:color w:val="0B2545"/>
                <w:sz w:val="15"/>
              </w:rPr>
              <w:t>Trip and bag details</w:t>
            </w:r>
          </w:p>
        </w:tc>
        <w:tc>
          <w:tcPr>
            <w:tcW w:type="dxa" w:w="2700"/>
          </w:tcPr>
          <w:p>
            <w:pPr>
              <w:spacing w:before="0" w:after="0" w:line="276" w:lineRule="auto"/>
            </w:pPr>
            <w:r/>
            <w:r>
              <w:rPr>
                <w:rFonts w:ascii="Calibri" w:hAnsi="Calibri"/>
                <w:b w:val="0"/>
                <w:color w:val="0B2545"/>
                <w:sz w:val="15"/>
              </w:rPr>
              <w:t>Pickup/delivery address, airport, flight, date, bag count, handling notes.</w:t>
            </w:r>
          </w:p>
        </w:tc>
        <w:tc>
          <w:tcPr>
            <w:tcW w:type="dxa" w:w="2500"/>
          </w:tcPr>
          <w:p>
            <w:pPr>
              <w:spacing w:before="0" w:after="0" w:line="276" w:lineRule="auto"/>
            </w:pPr>
            <w:r/>
            <w:r>
              <w:rPr>
                <w:rFonts w:ascii="Calibri" w:hAnsi="Calibri"/>
                <w:b w:val="0"/>
                <w:color w:val="0B2545"/>
                <w:sz w:val="15"/>
              </w:rPr>
              <w:t>Pricing, feasibility, dispatch, custody, customer support.</w:t>
            </w:r>
          </w:p>
        </w:tc>
        <w:tc>
          <w:tcPr>
            <w:tcW w:type="dxa" w:w="2560"/>
          </w:tcPr>
          <w:p>
            <w:pPr>
              <w:spacing w:before="0" w:after="0" w:line="276" w:lineRule="auto"/>
            </w:pPr>
            <w:r/>
            <w:r>
              <w:rPr>
                <w:rFonts w:ascii="Calibri" w:hAnsi="Calibri"/>
                <w:b w:val="0"/>
                <w:color w:val="0B2545"/>
                <w:sz w:val="15"/>
              </w:rPr>
              <w:t>Do not expose customer route details outside assigned staff/drivers/partners.</w:t>
            </w:r>
          </w:p>
        </w:tc>
      </w:tr>
      <w:tr>
        <w:tc>
          <w:tcPr>
            <w:tcW w:type="dxa" w:w="1600"/>
          </w:tcPr>
          <w:p>
            <w:pPr>
              <w:spacing w:before="0" w:after="0" w:line="276" w:lineRule="auto"/>
            </w:pPr>
            <w:r/>
            <w:r>
              <w:rPr>
                <w:rFonts w:ascii="Calibri" w:hAnsi="Calibri"/>
                <w:b w:val="0"/>
                <w:color w:val="0B2545"/>
                <w:sz w:val="15"/>
              </w:rPr>
              <w:t>Payment data</w:t>
            </w:r>
          </w:p>
        </w:tc>
        <w:tc>
          <w:tcPr>
            <w:tcW w:type="dxa" w:w="2700"/>
          </w:tcPr>
          <w:p>
            <w:pPr>
              <w:spacing w:before="0" w:after="0" w:line="276" w:lineRule="auto"/>
            </w:pPr>
            <w:r/>
            <w:r>
              <w:rPr>
                <w:rFonts w:ascii="Calibri" w:hAnsi="Calibri"/>
                <w:b w:val="0"/>
                <w:color w:val="0B2545"/>
                <w:sz w:val="15"/>
              </w:rPr>
              <w:t>Stripe session, payment status, receipt metadata.</w:t>
            </w:r>
          </w:p>
        </w:tc>
        <w:tc>
          <w:tcPr>
            <w:tcW w:type="dxa" w:w="2500"/>
          </w:tcPr>
          <w:p>
            <w:pPr>
              <w:spacing w:before="0" w:after="0" w:line="276" w:lineRule="auto"/>
            </w:pPr>
            <w:r/>
            <w:r>
              <w:rPr>
                <w:rFonts w:ascii="Calibri" w:hAnsi="Calibri"/>
                <w:b w:val="0"/>
                <w:color w:val="0B2545"/>
                <w:sz w:val="15"/>
              </w:rPr>
              <w:t>Checkout, refunds, disputes, accounting.</w:t>
            </w:r>
          </w:p>
        </w:tc>
        <w:tc>
          <w:tcPr>
            <w:tcW w:type="dxa" w:w="2560"/>
          </w:tcPr>
          <w:p>
            <w:pPr>
              <w:spacing w:before="0" w:after="0" w:line="276" w:lineRule="auto"/>
            </w:pPr>
            <w:r/>
            <w:r>
              <w:rPr>
                <w:rFonts w:ascii="Calibri" w:hAnsi="Calibri"/>
                <w:b w:val="0"/>
                <w:color w:val="0B2545"/>
                <w:sz w:val="15"/>
              </w:rPr>
              <w:t>Do not store full card number, CVV, or wallet credentials in Travelyt systems.</w:t>
            </w:r>
          </w:p>
        </w:tc>
      </w:tr>
      <w:tr>
        <w:tc>
          <w:tcPr>
            <w:tcW w:type="dxa" w:w="1600"/>
          </w:tcPr>
          <w:p>
            <w:pPr>
              <w:spacing w:before="0" w:after="0" w:line="276" w:lineRule="auto"/>
            </w:pPr>
            <w:r/>
            <w:r>
              <w:rPr>
                <w:rFonts w:ascii="Calibri" w:hAnsi="Calibri"/>
                <w:b w:val="0"/>
                <w:color w:val="0B2545"/>
                <w:sz w:val="15"/>
              </w:rPr>
              <w:t>Identity/proof</w:t>
            </w:r>
          </w:p>
        </w:tc>
        <w:tc>
          <w:tcPr>
            <w:tcW w:type="dxa" w:w="2700"/>
          </w:tcPr>
          <w:p>
            <w:pPr>
              <w:spacing w:before="0" w:after="0" w:line="276" w:lineRule="auto"/>
            </w:pPr>
            <w:r/>
            <w:r>
              <w:rPr>
                <w:rFonts w:ascii="Calibri" w:hAnsi="Calibri"/>
                <w:b w:val="0"/>
                <w:color w:val="0B2545"/>
                <w:sz w:val="15"/>
              </w:rPr>
              <w:t>ID status, selfie/liveness reference, seal ID, bag photos, signatures, handoff recipient notes.</w:t>
            </w:r>
          </w:p>
        </w:tc>
        <w:tc>
          <w:tcPr>
            <w:tcW w:type="dxa" w:w="2500"/>
          </w:tcPr>
          <w:p>
            <w:pPr>
              <w:spacing w:before="0" w:after="0" w:line="276" w:lineRule="auto"/>
            </w:pPr>
            <w:r/>
            <w:r>
              <w:rPr>
                <w:rFonts w:ascii="Calibri" w:hAnsi="Calibri"/>
                <w:b w:val="0"/>
                <w:color w:val="0B2545"/>
                <w:sz w:val="15"/>
              </w:rPr>
              <w:t>Custody readiness, claims, fraud prevention, handoff proof.</w:t>
            </w:r>
          </w:p>
        </w:tc>
        <w:tc>
          <w:tcPr>
            <w:tcW w:type="dxa" w:w="2560"/>
          </w:tcPr>
          <w:p>
            <w:pPr>
              <w:spacing w:before="0" w:after="0" w:line="276" w:lineRule="auto"/>
            </w:pPr>
            <w:r/>
            <w:r>
              <w:rPr>
                <w:rFonts w:ascii="Calibri" w:hAnsi="Calibri"/>
                <w:b w:val="0"/>
                <w:color w:val="0B2545"/>
                <w:sz w:val="15"/>
              </w:rPr>
              <w:t>Store the minimum proof needed; avoid photographing private employee IDs unless agreement allows.</w:t>
            </w:r>
          </w:p>
        </w:tc>
      </w:tr>
      <w:tr>
        <w:tc>
          <w:tcPr>
            <w:tcW w:type="dxa" w:w="1600"/>
          </w:tcPr>
          <w:p>
            <w:pPr>
              <w:spacing w:before="0" w:after="0" w:line="276" w:lineRule="auto"/>
            </w:pPr>
            <w:r/>
            <w:r>
              <w:rPr>
                <w:rFonts w:ascii="Calibri" w:hAnsi="Calibri"/>
                <w:b w:val="0"/>
                <w:color w:val="0B2545"/>
                <w:sz w:val="15"/>
              </w:rPr>
              <w:t>Location/device</w:t>
            </w:r>
          </w:p>
        </w:tc>
        <w:tc>
          <w:tcPr>
            <w:tcW w:type="dxa" w:w="2700"/>
          </w:tcPr>
          <w:p>
            <w:pPr>
              <w:spacing w:before="0" w:after="0" w:line="276" w:lineRule="auto"/>
            </w:pPr>
            <w:r/>
            <w:r>
              <w:rPr>
                <w:rFonts w:ascii="Calibri" w:hAnsi="Calibri"/>
                <w:b w:val="0"/>
                <w:color w:val="0B2545"/>
                <w:sz w:val="15"/>
              </w:rPr>
              <w:t>GPS checkpoints, timestamp, accuracy, IP/device/app logs.</w:t>
            </w:r>
          </w:p>
        </w:tc>
        <w:tc>
          <w:tcPr>
            <w:tcW w:type="dxa" w:w="2500"/>
          </w:tcPr>
          <w:p>
            <w:pPr>
              <w:spacing w:before="0" w:after="0" w:line="276" w:lineRule="auto"/>
            </w:pPr>
            <w:r/>
            <w:r>
              <w:rPr>
                <w:rFonts w:ascii="Calibri" w:hAnsi="Calibri"/>
                <w:b w:val="0"/>
                <w:color w:val="0B2545"/>
                <w:sz w:val="15"/>
              </w:rPr>
              <w:t>Driver route proof, security, troubleshooting, push notifications.</w:t>
            </w:r>
          </w:p>
        </w:tc>
        <w:tc>
          <w:tcPr>
            <w:tcW w:type="dxa" w:w="2560"/>
          </w:tcPr>
          <w:p>
            <w:pPr>
              <w:spacing w:before="0" w:after="0" w:line="276" w:lineRule="auto"/>
            </w:pPr>
            <w:r/>
            <w:r>
              <w:rPr>
                <w:rFonts w:ascii="Calibri" w:hAnsi="Calibri"/>
                <w:b w:val="0"/>
                <w:color w:val="0B2545"/>
                <w:sz w:val="15"/>
              </w:rPr>
              <w:t>Use checkpoint GPS first; do not expand to background tracking without a separate privacy and consent review.</w:t>
            </w:r>
          </w:p>
        </w:tc>
      </w:tr>
    </w:tbl>
    <w:p>
      <w:pPr>
        <w:spacing w:after="80"/>
      </w:pPr>
    </w:p>
    <w:p>
      <w:pPr>
        <w:pStyle w:val="Heading2"/>
        <w:keepNext/>
      </w:pPr>
      <w:r>
        <w:t>Privacy Operating Rules</w:t>
      </w:r>
    </w:p>
    <w:p>
      <w:pPr>
        <w:pStyle w:val="ListBullet"/>
        <w:spacing w:before="0" w:after="80" w:line="300" w:lineRule="auto"/>
        <w:ind w:left="540" w:hanging="271"/>
      </w:pPr>
      <w:r>
        <w:rPr>
          <w:rFonts w:ascii="Calibri" w:hAnsi="Calibri"/>
          <w:color w:val="0B2545"/>
          <w:sz w:val="21"/>
        </w:rPr>
        <w:t>Privacy requests go to privacy@travelyt.app; support issues go to support@travelyt.app unless they include data deletion, access, correction, or breach concerns.</w:t>
      </w:r>
    </w:p>
    <w:p>
      <w:pPr>
        <w:pStyle w:val="ListBullet"/>
        <w:spacing w:before="0" w:after="80" w:line="300" w:lineRule="auto"/>
        <w:ind w:left="540" w:hanging="271"/>
      </w:pPr>
      <w:r>
        <w:rPr>
          <w:rFonts w:ascii="Calibri" w:hAnsi="Calibri"/>
          <w:color w:val="0B2545"/>
          <w:sz w:val="21"/>
        </w:rPr>
        <w:t>If customer data is deleted, retain only records legally or operationally required for payment, accounting, disputes, claims, completed custody logs, fraud prevention, or safety.</w:t>
      </w:r>
    </w:p>
    <w:p>
      <w:pPr>
        <w:pStyle w:val="ListBullet"/>
        <w:spacing w:before="0" w:after="80" w:line="300" w:lineRule="auto"/>
        <w:ind w:left="540" w:hanging="271"/>
      </w:pPr>
      <w:r>
        <w:rPr>
          <w:rFonts w:ascii="Calibri" w:hAnsi="Calibri"/>
          <w:color w:val="0B2545"/>
          <w:sz w:val="21"/>
        </w:rPr>
        <w:t>Do not use trip, location, account, payment, or custody data to train third-party AI models.</w:t>
      </w:r>
    </w:p>
    <w:p>
      <w:pPr>
        <w:pStyle w:val="ListBullet"/>
        <w:spacing w:before="0" w:after="80" w:line="300" w:lineRule="auto"/>
        <w:ind w:left="540" w:hanging="271"/>
      </w:pPr>
      <w:r>
        <w:rPr>
          <w:rFonts w:ascii="Calibri" w:hAnsi="Calibri"/>
          <w:color w:val="0B2545"/>
          <w:sz w:val="21"/>
        </w:rPr>
        <w:t>If the app collects a new data type or integrates a new SDK/vendor, update the public privacy policy and App Store privacy answers before release.</w:t>
      </w:r>
    </w:p>
    <w:p>
      <w:pPr>
        <w:pStyle w:val="ListBullet"/>
        <w:spacing w:before="0" w:after="80" w:line="300" w:lineRule="auto"/>
        <w:ind w:left="540" w:hanging="271"/>
      </w:pPr>
      <w:r>
        <w:rPr>
          <w:rFonts w:ascii="Calibri" w:hAnsi="Calibri"/>
          <w:color w:val="0B2545"/>
          <w:sz w:val="21"/>
        </w:rPr>
        <w:t>If there is a data/security incident, preserve logs, stop the exposure, identify affected data, notify leadership, and evaluate legal notice obligations before informal texting about details.</w:t>
      </w:r>
    </w:p>
    <w:p>
      <w:pPr>
        <w:pStyle w:val="Heading1"/>
        <w:keepNext/>
      </w:pPr>
      <w:r>
        <w:t>5. Customer Terms And Responsibility Policy</w:t>
      </w: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100"/>
        <w:gridCol w:w="7260"/>
      </w:tblGrid>
      <w:tr>
        <w:tc>
          <w:tcPr>
            <w:tcW w:type="dxa" w:w="2100"/>
            <w:shd w:fill="F2F4F7"/>
          </w:tcPr>
          <w:p>
            <w:pPr>
              <w:spacing w:before="0" w:after="0" w:line="276" w:lineRule="auto"/>
            </w:pPr>
            <w:r/>
            <w:r>
              <w:rPr>
                <w:rFonts w:ascii="Calibri" w:hAnsi="Calibri"/>
                <w:b/>
                <w:color w:val="1F4D78"/>
                <w:sz w:val="19"/>
              </w:rPr>
              <w:t>Owner</w:t>
            </w:r>
          </w:p>
        </w:tc>
        <w:tc>
          <w:tcPr>
            <w:tcW w:type="dxa" w:w="7260"/>
          </w:tcPr>
          <w:p>
            <w:pPr>
              <w:spacing w:before="0" w:after="0" w:line="276" w:lineRule="auto"/>
            </w:pPr>
            <w:r/>
            <w:r>
              <w:rPr>
                <w:rFonts w:ascii="Calibri" w:hAnsi="Calibri"/>
                <w:b w:val="0"/>
                <w:color w:val="0B2545"/>
                <w:sz w:val="19"/>
              </w:rPr>
              <w:t>Operations / support</w:t>
            </w:r>
          </w:p>
        </w:tc>
      </w:tr>
      <w:tr>
        <w:tc>
          <w:tcPr>
            <w:tcW w:type="dxa" w:w="2100"/>
            <w:shd w:fill="F2F4F7"/>
          </w:tcPr>
          <w:p>
            <w:pPr>
              <w:spacing w:before="0" w:after="0" w:line="276" w:lineRule="auto"/>
            </w:pPr>
            <w:r/>
            <w:r>
              <w:rPr>
                <w:rFonts w:ascii="Calibri" w:hAnsi="Calibri"/>
                <w:b/>
                <w:color w:val="1F4D78"/>
                <w:sz w:val="19"/>
              </w:rPr>
              <w:t>Public status</w:t>
            </w:r>
          </w:p>
        </w:tc>
        <w:tc>
          <w:tcPr>
            <w:tcW w:type="dxa" w:w="7260"/>
          </w:tcPr>
          <w:p>
            <w:pPr>
              <w:spacing w:before="0" w:after="0" w:line="276" w:lineRule="auto"/>
            </w:pPr>
            <w:r/>
            <w:r>
              <w:rPr>
                <w:rFonts w:ascii="Calibri" w:hAnsi="Calibri"/>
                <w:b w:val="0"/>
                <w:color w:val="0B2545"/>
                <w:sz w:val="19"/>
              </w:rPr>
              <w:t>Public through /terms; legal final still required.</w:t>
            </w:r>
          </w:p>
        </w:tc>
      </w:tr>
      <w:tr>
        <w:tc>
          <w:tcPr>
            <w:tcW w:type="dxa" w:w="2100"/>
            <w:shd w:fill="F2F4F7"/>
          </w:tcPr>
          <w:p>
            <w:pPr>
              <w:spacing w:before="0" w:after="0" w:line="276" w:lineRule="auto"/>
            </w:pPr>
            <w:r/>
            <w:r>
              <w:rPr>
                <w:rFonts w:ascii="Calibri" w:hAnsi="Calibri"/>
                <w:b/>
                <w:color w:val="1F4D78"/>
                <w:sz w:val="19"/>
              </w:rPr>
              <w:t>Launch rule</w:t>
            </w:r>
          </w:p>
        </w:tc>
        <w:tc>
          <w:tcPr>
            <w:tcW w:type="dxa" w:w="7260"/>
          </w:tcPr>
          <w:p>
            <w:pPr>
              <w:spacing w:before="0" w:after="0" w:line="276" w:lineRule="auto"/>
            </w:pPr>
            <w:r/>
            <w:r>
              <w:rPr>
                <w:rFonts w:ascii="Calibri" w:hAnsi="Calibri"/>
                <w:b w:val="0"/>
                <w:color w:val="0B2545"/>
                <w:sz w:val="19"/>
              </w:rPr>
              <w:t>Use this as the operating rule today; have counsel/vendor partners review before scaled rollout.</w:t>
            </w:r>
          </w:p>
        </w:tc>
      </w:tr>
    </w:tbl>
    <w:p>
      <w:pPr>
        <w:spacing w:after="160"/>
      </w:pPr>
    </w:p>
    <w:p>
      <w:pPr>
        <w:spacing w:before="0" w:after="120" w:line="300" w:lineRule="auto"/>
      </w:pPr>
      <w:r>
        <w:rPr>
          <w:rFonts w:ascii="Calibri" w:hAnsi="Calibri"/>
          <w:color w:val="0B2545"/>
          <w:sz w:val="22"/>
        </w:rPr>
        <w:t>The customer agreement should be plain: Travelyt coordinates luggage service, but the customer remains responsible for correct booking information, legal contents, accessible handoff, airline baggage rules, IDs, and required review steps.</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400"/>
        <w:gridCol w:w="3900"/>
        <w:gridCol w:w="3060"/>
      </w:tblGrid>
      <w:tr>
        <w:tc>
          <w:tcPr>
            <w:tcW w:type="dxa" w:w="24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Customer must</w:t>
            </w:r>
          </w:p>
        </w:tc>
        <w:tc>
          <w:tcPr>
            <w:tcW w:type="dxa" w:w="39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Why it matters</w:t>
            </w:r>
          </w:p>
        </w:tc>
        <w:tc>
          <w:tcPr>
            <w:tcW w:type="dxa" w:w="306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Admin response if missing</w:t>
            </w:r>
          </w:p>
        </w:tc>
      </w:tr>
      <w:tr>
        <w:tc>
          <w:tcPr>
            <w:tcW w:type="dxa" w:w="2400"/>
          </w:tcPr>
          <w:p>
            <w:pPr>
              <w:spacing w:before="0" w:after="0" w:line="276" w:lineRule="auto"/>
            </w:pPr>
            <w:r/>
            <w:r>
              <w:rPr>
                <w:rFonts w:ascii="Calibri" w:hAnsi="Calibri"/>
                <w:b w:val="0"/>
                <w:color w:val="0B2545"/>
                <w:sz w:val="16"/>
              </w:rPr>
              <w:t>Provide accurate details</w:t>
            </w:r>
          </w:p>
        </w:tc>
        <w:tc>
          <w:tcPr>
            <w:tcW w:type="dxa" w:w="3900"/>
          </w:tcPr>
          <w:p>
            <w:pPr>
              <w:spacing w:before="0" w:after="0" w:line="276" w:lineRule="auto"/>
            </w:pPr>
            <w:r/>
            <w:r>
              <w:rPr>
                <w:rFonts w:ascii="Calibri" w:hAnsi="Calibri"/>
                <w:b w:val="0"/>
                <w:color w:val="0B2545"/>
                <w:sz w:val="16"/>
              </w:rPr>
              <w:t>Wrong address, airport, date, flight, contact, or bag count can break dispatch and liability.</w:t>
            </w:r>
          </w:p>
        </w:tc>
        <w:tc>
          <w:tcPr>
            <w:tcW w:type="dxa" w:w="3060"/>
          </w:tcPr>
          <w:p>
            <w:pPr>
              <w:spacing w:before="0" w:after="0" w:line="276" w:lineRule="auto"/>
            </w:pPr>
            <w:r/>
            <w:r>
              <w:rPr>
                <w:rFonts w:ascii="Calibri" w:hAnsi="Calibri"/>
                <w:b w:val="0"/>
                <w:color w:val="0B2545"/>
                <w:sz w:val="16"/>
              </w:rPr>
              <w:t>Keep pending or issue until corrected.</w:t>
            </w:r>
          </w:p>
        </w:tc>
      </w:tr>
      <w:tr>
        <w:tc>
          <w:tcPr>
            <w:tcW w:type="dxa" w:w="2400"/>
          </w:tcPr>
          <w:p>
            <w:pPr>
              <w:spacing w:before="0" w:after="0" w:line="276" w:lineRule="auto"/>
            </w:pPr>
            <w:r/>
            <w:r>
              <w:rPr>
                <w:rFonts w:ascii="Calibri" w:hAnsi="Calibri"/>
                <w:b w:val="0"/>
                <w:color w:val="0B2545"/>
                <w:sz w:val="16"/>
              </w:rPr>
              <w:t>Be available for pickup/release</w:t>
            </w:r>
          </w:p>
        </w:tc>
        <w:tc>
          <w:tcPr>
            <w:tcW w:type="dxa" w:w="3900"/>
          </w:tcPr>
          <w:p>
            <w:pPr>
              <w:spacing w:before="0" w:after="0" w:line="276" w:lineRule="auto"/>
            </w:pPr>
            <w:r/>
            <w:r>
              <w:rPr>
                <w:rFonts w:ascii="Calibri" w:hAnsi="Calibri"/>
                <w:b w:val="0"/>
                <w:color w:val="0B2545"/>
                <w:sz w:val="16"/>
              </w:rPr>
              <w:t>Custody cannot begin or end without an authorized person or approved unattended process.</w:t>
            </w:r>
          </w:p>
        </w:tc>
        <w:tc>
          <w:tcPr>
            <w:tcW w:type="dxa" w:w="3060"/>
          </w:tcPr>
          <w:p>
            <w:pPr>
              <w:spacing w:before="0" w:after="0" w:line="276" w:lineRule="auto"/>
            </w:pPr>
            <w:r/>
            <w:r>
              <w:rPr>
                <w:rFonts w:ascii="Calibri" w:hAnsi="Calibri"/>
                <w:b w:val="0"/>
                <w:color w:val="0B2545"/>
                <w:sz w:val="16"/>
              </w:rPr>
              <w:t>Reschedule, cancel, or charge/manual-review wait time if policy allows.</w:t>
            </w:r>
          </w:p>
        </w:tc>
      </w:tr>
      <w:tr>
        <w:tc>
          <w:tcPr>
            <w:tcW w:type="dxa" w:w="2400"/>
          </w:tcPr>
          <w:p>
            <w:pPr>
              <w:spacing w:before="0" w:after="0" w:line="276" w:lineRule="auto"/>
            </w:pPr>
            <w:r/>
            <w:r>
              <w:rPr>
                <w:rFonts w:ascii="Calibri" w:hAnsi="Calibri"/>
                <w:b w:val="0"/>
                <w:color w:val="0B2545"/>
                <w:sz w:val="16"/>
              </w:rPr>
              <w:t>Confirm bag contents</w:t>
            </w:r>
          </w:p>
        </w:tc>
        <w:tc>
          <w:tcPr>
            <w:tcW w:type="dxa" w:w="3900"/>
          </w:tcPr>
          <w:p>
            <w:pPr>
              <w:spacing w:before="0" w:after="0" w:line="276" w:lineRule="auto"/>
            </w:pPr>
            <w:r/>
            <w:r>
              <w:rPr>
                <w:rFonts w:ascii="Calibri" w:hAnsi="Calibri"/>
                <w:b w:val="0"/>
                <w:color w:val="0B2545"/>
                <w:sz w:val="16"/>
              </w:rPr>
              <w:t>Prohibited/hazmat/regulated items create TSA/FAA/airline/carrier and safety risk.</w:t>
            </w:r>
          </w:p>
        </w:tc>
        <w:tc>
          <w:tcPr>
            <w:tcW w:type="dxa" w:w="3060"/>
          </w:tcPr>
          <w:p>
            <w:pPr>
              <w:spacing w:before="0" w:after="0" w:line="276" w:lineRule="auto"/>
            </w:pPr>
            <w:r/>
            <w:r>
              <w:rPr>
                <w:rFonts w:ascii="Calibri" w:hAnsi="Calibri"/>
                <w:b w:val="0"/>
                <w:color w:val="0B2545"/>
                <w:sz w:val="16"/>
              </w:rPr>
              <w:t>Refuse, pause, or return the bag; document the issue.</w:t>
            </w:r>
          </w:p>
        </w:tc>
      </w:tr>
      <w:tr>
        <w:tc>
          <w:tcPr>
            <w:tcW w:type="dxa" w:w="2400"/>
          </w:tcPr>
          <w:p>
            <w:pPr>
              <w:spacing w:before="0" w:after="0" w:line="276" w:lineRule="auto"/>
            </w:pPr>
            <w:r/>
            <w:r>
              <w:rPr>
                <w:rFonts w:ascii="Calibri" w:hAnsi="Calibri"/>
                <w:b w:val="0"/>
                <w:color w:val="0B2545"/>
                <w:sz w:val="16"/>
              </w:rPr>
              <w:t>Complete identity/proof steps</w:t>
            </w:r>
          </w:p>
        </w:tc>
        <w:tc>
          <w:tcPr>
            <w:tcW w:type="dxa" w:w="3900"/>
          </w:tcPr>
          <w:p>
            <w:pPr>
              <w:spacing w:before="0" w:after="0" w:line="276" w:lineRule="auto"/>
            </w:pPr>
            <w:r/>
            <w:r>
              <w:rPr>
                <w:rFonts w:ascii="Calibri" w:hAnsi="Calibri"/>
                <w:b w:val="0"/>
                <w:color w:val="0B2545"/>
                <w:sz w:val="16"/>
              </w:rPr>
              <w:t>Custody and claims need the right customer/traveler/bag connection.</w:t>
            </w:r>
          </w:p>
        </w:tc>
        <w:tc>
          <w:tcPr>
            <w:tcW w:type="dxa" w:w="3060"/>
          </w:tcPr>
          <w:p>
            <w:pPr>
              <w:spacing w:before="0" w:after="0" w:line="276" w:lineRule="auto"/>
            </w:pPr>
            <w:r/>
            <w:r>
              <w:rPr>
                <w:rFonts w:ascii="Calibri" w:hAnsi="Calibri"/>
                <w:b w:val="0"/>
                <w:color w:val="0B2545"/>
                <w:sz w:val="16"/>
              </w:rPr>
              <w:t>Block custody or create supervised exception with admin approval.</w:t>
            </w:r>
          </w:p>
        </w:tc>
      </w:tr>
      <w:tr>
        <w:tc>
          <w:tcPr>
            <w:tcW w:type="dxa" w:w="2400"/>
          </w:tcPr>
          <w:p>
            <w:pPr>
              <w:spacing w:before="0" w:after="0" w:line="276" w:lineRule="auto"/>
            </w:pPr>
            <w:r/>
            <w:r>
              <w:rPr>
                <w:rFonts w:ascii="Calibri" w:hAnsi="Calibri"/>
                <w:b w:val="0"/>
                <w:color w:val="0B2545"/>
                <w:sz w:val="16"/>
              </w:rPr>
              <w:t>Pay approved fees</w:t>
            </w:r>
          </w:p>
        </w:tc>
        <w:tc>
          <w:tcPr>
            <w:tcW w:type="dxa" w:w="3900"/>
          </w:tcPr>
          <w:p>
            <w:pPr>
              <w:spacing w:before="0" w:after="0" w:line="276" w:lineRule="auto"/>
            </w:pPr>
            <w:r/>
            <w:r>
              <w:rPr>
                <w:rFonts w:ascii="Calibri" w:hAnsi="Calibri"/>
                <w:b w:val="0"/>
                <w:color w:val="0B2545"/>
                <w:sz w:val="16"/>
              </w:rPr>
              <w:t>Payment reserves the request, but operational feasibility still has to be confirmed.</w:t>
            </w:r>
          </w:p>
        </w:tc>
        <w:tc>
          <w:tcPr>
            <w:tcW w:type="dxa" w:w="3060"/>
          </w:tcPr>
          <w:p>
            <w:pPr>
              <w:spacing w:before="0" w:after="0" w:line="276" w:lineRule="auto"/>
            </w:pPr>
            <w:r/>
            <w:r>
              <w:rPr>
                <w:rFonts w:ascii="Calibri" w:hAnsi="Calibri"/>
                <w:b w:val="0"/>
                <w:color w:val="0B2545"/>
                <w:sz w:val="16"/>
              </w:rPr>
              <w:t>Do not assign unpaid or infeasible jobs.</w:t>
            </w:r>
          </w:p>
        </w:tc>
      </w:tr>
    </w:tbl>
    <w:p>
      <w:pPr>
        <w:spacing w:after="80"/>
      </w:pP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vAlign w:val="center"/>
            <w:tcMar>
              <w:top w:w="80" w:type="dxa"/>
              <w:bottom w:w="80" w:type="dxa"/>
              <w:start w:w="120" w:type="dxa"/>
              <w:end w:w="120" w:type="dxa"/>
            </w:tcMar>
            <w:shd w:fill="FFF7E6"/>
          </w:tcPr>
          <w:p>
            <w:pPr>
              <w:spacing w:before="0" w:after="40" w:line="283" w:lineRule="auto"/>
            </w:pPr>
            <w:r/>
            <w:r>
              <w:rPr>
                <w:rFonts w:ascii="Calibri" w:hAnsi="Calibri"/>
                <w:b/>
                <w:color w:val="7A5A00"/>
                <w:sz w:val="20"/>
              </w:rPr>
              <w:t xml:space="preserve">Plain-language rule: </w:t>
            </w:r>
            <w:r>
              <w:rPr>
                <w:rFonts w:ascii="Calibri" w:hAnsi="Calibri"/>
                <w:color w:val="0B2545"/>
                <w:sz w:val="20"/>
              </w:rPr>
              <w:t>A paid checkout does not automatically mean Travelyt can physically serve the route. Admin must still confirm timing, driver availability, service lane, airport/carrier constraints, and prohibited-item readiness before custody begins.</w:t>
            </w:r>
          </w:p>
        </w:tc>
      </w:tr>
    </w:tbl>
    <w:p>
      <w:pPr>
        <w:spacing w:after="40"/>
      </w:pPr>
    </w:p>
    <w:p>
      <w:r>
        <w:br w:type="page"/>
      </w:r>
    </w:p>
    <w:p>
      <w:pPr>
        <w:pStyle w:val="Heading1"/>
        <w:keepNext/>
      </w:pPr>
      <w:r>
        <w:t>6. Prohibited And Restricted Items Policy</w:t>
      </w: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100"/>
        <w:gridCol w:w="7260"/>
      </w:tblGrid>
      <w:tr>
        <w:tc>
          <w:tcPr>
            <w:tcW w:type="dxa" w:w="2100"/>
            <w:shd w:fill="F2F4F7"/>
          </w:tcPr>
          <w:p>
            <w:pPr>
              <w:spacing w:before="0" w:after="0" w:line="276" w:lineRule="auto"/>
            </w:pPr>
            <w:r/>
            <w:r>
              <w:rPr>
                <w:rFonts w:ascii="Calibri" w:hAnsi="Calibri"/>
                <w:b/>
                <w:color w:val="1F4D78"/>
                <w:sz w:val="19"/>
              </w:rPr>
              <w:t>Owner</w:t>
            </w:r>
          </w:p>
        </w:tc>
        <w:tc>
          <w:tcPr>
            <w:tcW w:type="dxa" w:w="7260"/>
          </w:tcPr>
          <w:p>
            <w:pPr>
              <w:spacing w:before="0" w:after="0" w:line="276" w:lineRule="auto"/>
            </w:pPr>
            <w:r/>
            <w:r>
              <w:rPr>
                <w:rFonts w:ascii="Calibri" w:hAnsi="Calibri"/>
                <w:b w:val="0"/>
                <w:color w:val="0B2545"/>
                <w:sz w:val="19"/>
              </w:rPr>
              <w:t>Operations / safety</w:t>
            </w:r>
          </w:p>
        </w:tc>
      </w:tr>
      <w:tr>
        <w:tc>
          <w:tcPr>
            <w:tcW w:type="dxa" w:w="2100"/>
            <w:shd w:fill="F2F4F7"/>
          </w:tcPr>
          <w:p>
            <w:pPr>
              <w:spacing w:before="0" w:after="0" w:line="276" w:lineRule="auto"/>
            </w:pPr>
            <w:r/>
            <w:r>
              <w:rPr>
                <w:rFonts w:ascii="Calibri" w:hAnsi="Calibri"/>
                <w:b/>
                <w:color w:val="1F4D78"/>
                <w:sz w:val="19"/>
              </w:rPr>
              <w:t>Public status</w:t>
            </w:r>
          </w:p>
        </w:tc>
        <w:tc>
          <w:tcPr>
            <w:tcW w:type="dxa" w:w="7260"/>
          </w:tcPr>
          <w:p>
            <w:pPr>
              <w:spacing w:before="0" w:after="0" w:line="276" w:lineRule="auto"/>
            </w:pPr>
            <w:r/>
            <w:r>
              <w:rPr>
                <w:rFonts w:ascii="Calibri" w:hAnsi="Calibri"/>
                <w:b w:val="0"/>
                <w:color w:val="0B2545"/>
                <w:sz w:val="19"/>
              </w:rPr>
              <w:t>Public through /prohibited-items; must be kept current with TSA/FAA/airline/vendor guidance.</w:t>
            </w:r>
          </w:p>
        </w:tc>
      </w:tr>
      <w:tr>
        <w:tc>
          <w:tcPr>
            <w:tcW w:type="dxa" w:w="2100"/>
            <w:shd w:fill="F2F4F7"/>
          </w:tcPr>
          <w:p>
            <w:pPr>
              <w:spacing w:before="0" w:after="0" w:line="276" w:lineRule="auto"/>
            </w:pPr>
            <w:r/>
            <w:r>
              <w:rPr>
                <w:rFonts w:ascii="Calibri" w:hAnsi="Calibri"/>
                <w:b/>
                <w:color w:val="1F4D78"/>
                <w:sz w:val="19"/>
              </w:rPr>
              <w:t>Launch rule</w:t>
            </w:r>
          </w:p>
        </w:tc>
        <w:tc>
          <w:tcPr>
            <w:tcW w:type="dxa" w:w="7260"/>
          </w:tcPr>
          <w:p>
            <w:pPr>
              <w:spacing w:before="0" w:after="0" w:line="276" w:lineRule="auto"/>
            </w:pPr>
            <w:r/>
            <w:r>
              <w:rPr>
                <w:rFonts w:ascii="Calibri" w:hAnsi="Calibri"/>
                <w:b w:val="0"/>
                <w:color w:val="0B2545"/>
                <w:sz w:val="19"/>
              </w:rPr>
              <w:t>Use this as the operating rule today; have counsel/vendor partners review before scaled rollout.</w:t>
            </w:r>
          </w:p>
        </w:tc>
      </w:tr>
    </w:tbl>
    <w:p>
      <w:pPr>
        <w:spacing w:after="160"/>
      </w:pPr>
    </w:p>
    <w:p>
      <w:pPr>
        <w:spacing w:before="0" w:after="120" w:line="300" w:lineRule="auto"/>
      </w:pPr>
      <w:r>
        <w:rPr>
          <w:rFonts w:ascii="Calibri" w:hAnsi="Calibri"/>
          <w:color w:val="0B2545"/>
          <w:sz w:val="22"/>
        </w:rPr>
        <w:t>Travelyt can refuse, pause, cancel, return, or escalate any bag that cannot be verified against prohibited-item rules. The final authority may be the airline, TSA officer, FAA hazardous-materials rule, airport, carrier, law enforcement, or destination rule.</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1900"/>
        <w:gridCol w:w="4450"/>
        <w:gridCol w:w="3010"/>
      </w:tblGrid>
      <w:tr>
        <w:tc>
          <w:tcPr>
            <w:tcW w:type="dxa" w:w="19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Category</w:t>
            </w:r>
          </w:p>
        </w:tc>
        <w:tc>
          <w:tcPr>
            <w:tcW w:type="dxa" w:w="445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Examples</w:t>
            </w:r>
          </w:p>
        </w:tc>
        <w:tc>
          <w:tcPr>
            <w:tcW w:type="dxa" w:w="301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Launch rule</w:t>
            </w:r>
          </w:p>
        </w:tc>
      </w:tr>
      <w:tr>
        <w:tc>
          <w:tcPr>
            <w:tcW w:type="dxa" w:w="1900"/>
          </w:tcPr>
          <w:p>
            <w:pPr>
              <w:spacing w:before="0" w:after="0" w:line="276" w:lineRule="auto"/>
            </w:pPr>
            <w:r/>
            <w:r>
              <w:rPr>
                <w:rFonts w:ascii="Calibri" w:hAnsi="Calibri"/>
                <w:b w:val="0"/>
                <w:color w:val="0B2545"/>
                <w:sz w:val="15"/>
              </w:rPr>
              <w:t>Weapons / explosives</w:t>
            </w:r>
          </w:p>
        </w:tc>
        <w:tc>
          <w:tcPr>
            <w:tcW w:type="dxa" w:w="4450"/>
          </w:tcPr>
          <w:p>
            <w:pPr>
              <w:spacing w:before="0" w:after="0" w:line="276" w:lineRule="auto"/>
            </w:pPr>
            <w:r/>
            <w:r>
              <w:rPr>
                <w:rFonts w:ascii="Calibri" w:hAnsi="Calibri"/>
                <w:b w:val="0"/>
                <w:color w:val="0B2545"/>
                <w:sz w:val="15"/>
              </w:rPr>
              <w:t>Firearms, ammunition, fireworks, flares, realistic weapons, stun devices, pepper spray.</w:t>
            </w:r>
          </w:p>
        </w:tc>
        <w:tc>
          <w:tcPr>
            <w:tcW w:type="dxa" w:w="3010"/>
          </w:tcPr>
          <w:p>
            <w:pPr>
              <w:spacing w:before="0" w:after="0" w:line="276" w:lineRule="auto"/>
            </w:pPr>
            <w:r/>
            <w:r>
              <w:rPr>
                <w:rFonts w:ascii="Calibri" w:hAnsi="Calibri"/>
                <w:b w:val="0"/>
                <w:color w:val="0B2545"/>
                <w:sz w:val="15"/>
              </w:rPr>
              <w:t>Do not accept unless a written, counsel-reviewed special handling policy exists. None exists for launch.</w:t>
            </w:r>
          </w:p>
        </w:tc>
      </w:tr>
      <w:tr>
        <w:tc>
          <w:tcPr>
            <w:tcW w:type="dxa" w:w="1900"/>
          </w:tcPr>
          <w:p>
            <w:pPr>
              <w:spacing w:before="0" w:after="0" w:line="276" w:lineRule="auto"/>
            </w:pPr>
            <w:r/>
            <w:r>
              <w:rPr>
                <w:rFonts w:ascii="Calibri" w:hAnsi="Calibri"/>
                <w:b w:val="0"/>
                <w:color w:val="0B2545"/>
                <w:sz w:val="15"/>
              </w:rPr>
              <w:t>Hazardous materials</w:t>
            </w:r>
          </w:p>
        </w:tc>
        <w:tc>
          <w:tcPr>
            <w:tcW w:type="dxa" w:w="4450"/>
          </w:tcPr>
          <w:p>
            <w:pPr>
              <w:spacing w:before="0" w:after="0" w:line="276" w:lineRule="auto"/>
            </w:pPr>
            <w:r/>
            <w:r>
              <w:rPr>
                <w:rFonts w:ascii="Calibri" w:hAnsi="Calibri"/>
                <w:b w:val="0"/>
                <w:color w:val="0B2545"/>
                <w:sz w:val="15"/>
              </w:rPr>
              <w:t>Fuel, lighter fluid, paints, solvents, corrosives, compressed gas, dry ice beyond limits, radioactive/toxic/infectious materials.</w:t>
            </w:r>
          </w:p>
        </w:tc>
        <w:tc>
          <w:tcPr>
            <w:tcW w:type="dxa" w:w="3010"/>
          </w:tcPr>
          <w:p>
            <w:pPr>
              <w:spacing w:before="0" w:after="0" w:line="276" w:lineRule="auto"/>
            </w:pPr>
            <w:r/>
            <w:r>
              <w:rPr>
                <w:rFonts w:ascii="Calibri" w:hAnsi="Calibri"/>
                <w:b w:val="0"/>
                <w:color w:val="0B2545"/>
                <w:sz w:val="15"/>
              </w:rPr>
              <w:t>Reject or require manual safety review before pickup.</w:t>
            </w:r>
          </w:p>
        </w:tc>
      </w:tr>
      <w:tr>
        <w:tc>
          <w:tcPr>
            <w:tcW w:type="dxa" w:w="1900"/>
          </w:tcPr>
          <w:p>
            <w:pPr>
              <w:spacing w:before="0" w:after="0" w:line="276" w:lineRule="auto"/>
            </w:pPr>
            <w:r/>
            <w:r>
              <w:rPr>
                <w:rFonts w:ascii="Calibri" w:hAnsi="Calibri"/>
                <w:b w:val="0"/>
                <w:color w:val="0B2545"/>
                <w:sz w:val="15"/>
              </w:rPr>
              <w:t>Batteries / powered devices</w:t>
            </w:r>
          </w:p>
        </w:tc>
        <w:tc>
          <w:tcPr>
            <w:tcW w:type="dxa" w:w="4450"/>
          </w:tcPr>
          <w:p>
            <w:pPr>
              <w:spacing w:before="0" w:after="0" w:line="276" w:lineRule="auto"/>
            </w:pPr>
            <w:r/>
            <w:r>
              <w:rPr>
                <w:rFonts w:ascii="Calibri" w:hAnsi="Calibri"/>
                <w:b w:val="0"/>
                <w:color w:val="0B2545"/>
                <w:sz w:val="15"/>
              </w:rPr>
              <w:t>Loose lithium batteries, power banks, smart bags, scooters, hoverboards, damaged/recalled batteries.</w:t>
            </w:r>
          </w:p>
        </w:tc>
        <w:tc>
          <w:tcPr>
            <w:tcW w:type="dxa" w:w="3010"/>
          </w:tcPr>
          <w:p>
            <w:pPr>
              <w:spacing w:before="0" w:after="0" w:line="276" w:lineRule="auto"/>
            </w:pPr>
            <w:r/>
            <w:r>
              <w:rPr>
                <w:rFonts w:ascii="Calibri" w:hAnsi="Calibri"/>
                <w:b w:val="0"/>
                <w:color w:val="0B2545"/>
                <w:sz w:val="15"/>
              </w:rPr>
              <w:t>Follow FAA PackSafe and airline rules; spare lithium batteries/power banks must stay with passenger.</w:t>
            </w:r>
          </w:p>
        </w:tc>
      </w:tr>
      <w:tr>
        <w:tc>
          <w:tcPr>
            <w:tcW w:type="dxa" w:w="1900"/>
          </w:tcPr>
          <w:p>
            <w:pPr>
              <w:spacing w:before="0" w:after="0" w:line="276" w:lineRule="auto"/>
            </w:pPr>
            <w:r/>
            <w:r>
              <w:rPr>
                <w:rFonts w:ascii="Calibri" w:hAnsi="Calibri"/>
                <w:b w:val="0"/>
                <w:color w:val="0B2545"/>
                <w:sz w:val="15"/>
              </w:rPr>
              <w:t>Illegal/regulated items</w:t>
            </w:r>
          </w:p>
        </w:tc>
        <w:tc>
          <w:tcPr>
            <w:tcW w:type="dxa" w:w="4450"/>
          </w:tcPr>
          <w:p>
            <w:pPr>
              <w:spacing w:before="0" w:after="0" w:line="276" w:lineRule="auto"/>
            </w:pPr>
            <w:r/>
            <w:r>
              <w:rPr>
                <w:rFonts w:ascii="Calibri" w:hAnsi="Calibri"/>
                <w:b w:val="0"/>
                <w:color w:val="0B2545"/>
                <w:sz w:val="15"/>
              </w:rPr>
              <w:t>Illegal drugs, cannabis where transport is not legal, counterfeit goods, alcohol/tobacco/vape/medication when not allowed.</w:t>
            </w:r>
          </w:p>
        </w:tc>
        <w:tc>
          <w:tcPr>
            <w:tcW w:type="dxa" w:w="3010"/>
          </w:tcPr>
          <w:p>
            <w:pPr>
              <w:spacing w:before="0" w:after="0" w:line="276" w:lineRule="auto"/>
            </w:pPr>
            <w:r/>
            <w:r>
              <w:rPr>
                <w:rFonts w:ascii="Calibri" w:hAnsi="Calibri"/>
                <w:b w:val="0"/>
                <w:color w:val="0B2545"/>
                <w:sz w:val="15"/>
              </w:rPr>
              <w:t>Do not accept unless legality and carrier/airline rules are confirmed.</w:t>
            </w:r>
          </w:p>
        </w:tc>
      </w:tr>
      <w:tr>
        <w:tc>
          <w:tcPr>
            <w:tcW w:type="dxa" w:w="1900"/>
          </w:tcPr>
          <w:p>
            <w:pPr>
              <w:spacing w:before="0" w:after="0" w:line="276" w:lineRule="auto"/>
            </w:pPr>
            <w:r/>
            <w:r>
              <w:rPr>
                <w:rFonts w:ascii="Calibri" w:hAnsi="Calibri"/>
                <w:b w:val="0"/>
                <w:color w:val="0B2545"/>
                <w:sz w:val="15"/>
              </w:rPr>
              <w:t>Keep-with-passenger items</w:t>
            </w:r>
          </w:p>
        </w:tc>
        <w:tc>
          <w:tcPr>
            <w:tcW w:type="dxa" w:w="4450"/>
          </w:tcPr>
          <w:p>
            <w:pPr>
              <w:spacing w:before="0" w:after="0" w:line="276" w:lineRule="auto"/>
            </w:pPr>
            <w:r/>
            <w:r>
              <w:rPr>
                <w:rFonts w:ascii="Calibri" w:hAnsi="Calibri"/>
                <w:b w:val="0"/>
                <w:color w:val="0B2545"/>
                <w:sz w:val="15"/>
              </w:rPr>
              <w:t>Passports, IDs, keys, wallets, cash, medicine, electronics, jewelry, irreplaceable documents.</w:t>
            </w:r>
          </w:p>
        </w:tc>
        <w:tc>
          <w:tcPr>
            <w:tcW w:type="dxa" w:w="3010"/>
          </w:tcPr>
          <w:p>
            <w:pPr>
              <w:spacing w:before="0" w:after="0" w:line="276" w:lineRule="auto"/>
            </w:pPr>
            <w:r/>
            <w:r>
              <w:rPr>
                <w:rFonts w:ascii="Calibri" w:hAnsi="Calibri"/>
                <w:b w:val="0"/>
                <w:color w:val="0B2545"/>
                <w:sz w:val="15"/>
              </w:rPr>
              <w:t>Advise customer to carry them; coverage may exclude them.</w:t>
            </w:r>
          </w:p>
        </w:tc>
      </w:tr>
      <w:tr>
        <w:tc>
          <w:tcPr>
            <w:tcW w:type="dxa" w:w="1900"/>
          </w:tcPr>
          <w:p>
            <w:pPr>
              <w:spacing w:before="0" w:after="0" w:line="276" w:lineRule="auto"/>
            </w:pPr>
            <w:r/>
            <w:r>
              <w:rPr>
                <w:rFonts w:ascii="Calibri" w:hAnsi="Calibri"/>
                <w:b w:val="0"/>
                <w:color w:val="0B2545"/>
                <w:sz w:val="15"/>
              </w:rPr>
              <w:t>Fragile/perishable/unusual</w:t>
            </w:r>
          </w:p>
        </w:tc>
        <w:tc>
          <w:tcPr>
            <w:tcW w:type="dxa" w:w="4450"/>
          </w:tcPr>
          <w:p>
            <w:pPr>
              <w:spacing w:before="0" w:after="0" w:line="276" w:lineRule="auto"/>
            </w:pPr>
            <w:r/>
            <w:r>
              <w:rPr>
                <w:rFonts w:ascii="Calibri" w:hAnsi="Calibri"/>
                <w:b w:val="0"/>
                <w:color w:val="0B2545"/>
                <w:sz w:val="15"/>
              </w:rPr>
              <w:t>Perishables, leaking liquids, fragile valuables, plants, live animals, oversized or overweight items.</w:t>
            </w:r>
          </w:p>
        </w:tc>
        <w:tc>
          <w:tcPr>
            <w:tcW w:type="dxa" w:w="3010"/>
          </w:tcPr>
          <w:p>
            <w:pPr>
              <w:spacing w:before="0" w:after="0" w:line="276" w:lineRule="auto"/>
            </w:pPr>
            <w:r/>
            <w:r>
              <w:rPr>
                <w:rFonts w:ascii="Calibri" w:hAnsi="Calibri"/>
                <w:b w:val="0"/>
                <w:color w:val="0B2545"/>
                <w:sz w:val="15"/>
              </w:rPr>
              <w:t>Manual review required; may be refused.</w:t>
            </w:r>
          </w:p>
        </w:tc>
      </w:tr>
    </w:tbl>
    <w:p>
      <w:pPr>
        <w:spacing w:after="80"/>
      </w:pP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vAlign w:val="center"/>
            <w:tcMar>
              <w:top w:w="80" w:type="dxa"/>
              <w:bottom w:w="80" w:type="dxa"/>
              <w:start w:w="120" w:type="dxa"/>
              <w:end w:w="120" w:type="dxa"/>
            </w:tcMar>
            <w:shd w:fill="FFF7E6"/>
          </w:tcPr>
          <w:p>
            <w:pPr>
              <w:spacing w:before="0" w:after="40" w:line="283" w:lineRule="auto"/>
            </w:pPr>
            <w:r/>
            <w:r>
              <w:rPr>
                <w:rFonts w:ascii="Calibri" w:hAnsi="Calibri"/>
                <w:b/>
                <w:color w:val="7A5A00"/>
                <w:sz w:val="20"/>
              </w:rPr>
              <w:t xml:space="preserve">Customer script: </w:t>
            </w:r>
            <w:r>
              <w:rPr>
                <w:rFonts w:ascii="Calibri" w:hAnsi="Calibri"/>
                <w:color w:val="0B2545"/>
                <w:sz w:val="20"/>
              </w:rPr>
              <w:t>If you are unsure whether something is allowed, keep it with you or ask Travelyt before pickup. If we cannot verify it, we may refuse the bag.</w:t>
            </w:r>
          </w:p>
        </w:tc>
      </w:tr>
    </w:tbl>
    <w:p>
      <w:pPr>
        <w:spacing w:after="40"/>
      </w:pPr>
    </w:p>
    <w:p>
      <w:r>
        <w:br w:type="page"/>
      </w:r>
    </w:p>
    <w:p>
      <w:pPr>
        <w:pStyle w:val="Heading1"/>
        <w:keepNext/>
      </w:pPr>
      <w:r>
        <w:t>7. Refund, Cancellation, And Claims Policy</w:t>
      </w: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100"/>
        <w:gridCol w:w="7260"/>
      </w:tblGrid>
      <w:tr>
        <w:tc>
          <w:tcPr>
            <w:tcW w:type="dxa" w:w="2100"/>
            <w:shd w:fill="F2F4F7"/>
          </w:tcPr>
          <w:p>
            <w:pPr>
              <w:spacing w:before="0" w:after="0" w:line="276" w:lineRule="auto"/>
            </w:pPr>
            <w:r/>
            <w:r>
              <w:rPr>
                <w:rFonts w:ascii="Calibri" w:hAnsi="Calibri"/>
                <w:b/>
                <w:color w:val="1F4D78"/>
                <w:sz w:val="19"/>
              </w:rPr>
              <w:t>Owner</w:t>
            </w:r>
          </w:p>
        </w:tc>
        <w:tc>
          <w:tcPr>
            <w:tcW w:type="dxa" w:w="7260"/>
          </w:tcPr>
          <w:p>
            <w:pPr>
              <w:spacing w:before="0" w:after="0" w:line="276" w:lineRule="auto"/>
            </w:pPr>
            <w:r/>
            <w:r>
              <w:rPr>
                <w:rFonts w:ascii="Calibri" w:hAnsi="Calibri"/>
                <w:b w:val="0"/>
                <w:color w:val="0B2545"/>
                <w:sz w:val="19"/>
              </w:rPr>
              <w:t>Support / operations / finance</w:t>
            </w:r>
          </w:p>
        </w:tc>
      </w:tr>
      <w:tr>
        <w:tc>
          <w:tcPr>
            <w:tcW w:type="dxa" w:w="2100"/>
            <w:shd w:fill="F2F4F7"/>
          </w:tcPr>
          <w:p>
            <w:pPr>
              <w:spacing w:before="0" w:after="0" w:line="276" w:lineRule="auto"/>
            </w:pPr>
            <w:r/>
            <w:r>
              <w:rPr>
                <w:rFonts w:ascii="Calibri" w:hAnsi="Calibri"/>
                <w:b/>
                <w:color w:val="1F4D78"/>
                <w:sz w:val="19"/>
              </w:rPr>
              <w:t>Public status</w:t>
            </w:r>
          </w:p>
        </w:tc>
        <w:tc>
          <w:tcPr>
            <w:tcW w:type="dxa" w:w="7260"/>
          </w:tcPr>
          <w:p>
            <w:pPr>
              <w:spacing w:before="0" w:after="0" w:line="276" w:lineRule="auto"/>
            </w:pPr>
            <w:r/>
            <w:r>
              <w:rPr>
                <w:rFonts w:ascii="Calibri" w:hAnsi="Calibri"/>
                <w:b w:val="0"/>
                <w:color w:val="0B2545"/>
                <w:sz w:val="19"/>
              </w:rPr>
              <w:t>Partly public through /terms; full claims process is paper-only today.</w:t>
            </w:r>
          </w:p>
        </w:tc>
      </w:tr>
      <w:tr>
        <w:tc>
          <w:tcPr>
            <w:tcW w:type="dxa" w:w="2100"/>
            <w:shd w:fill="F2F4F7"/>
          </w:tcPr>
          <w:p>
            <w:pPr>
              <w:spacing w:before="0" w:after="0" w:line="276" w:lineRule="auto"/>
            </w:pPr>
            <w:r/>
            <w:r>
              <w:rPr>
                <w:rFonts w:ascii="Calibri" w:hAnsi="Calibri"/>
                <w:b/>
                <w:color w:val="1F4D78"/>
                <w:sz w:val="19"/>
              </w:rPr>
              <w:t>Launch rule</w:t>
            </w:r>
          </w:p>
        </w:tc>
        <w:tc>
          <w:tcPr>
            <w:tcW w:type="dxa" w:w="7260"/>
          </w:tcPr>
          <w:p>
            <w:pPr>
              <w:spacing w:before="0" w:after="0" w:line="276" w:lineRule="auto"/>
            </w:pPr>
            <w:r/>
            <w:r>
              <w:rPr>
                <w:rFonts w:ascii="Calibri" w:hAnsi="Calibri"/>
                <w:b w:val="0"/>
                <w:color w:val="0B2545"/>
                <w:sz w:val="19"/>
              </w:rPr>
              <w:t>Use this as the operating rule today; have counsel/vendor partners review before scaled rollout.</w:t>
            </w:r>
          </w:p>
        </w:tc>
      </w:tr>
    </w:tbl>
    <w:p>
      <w:pPr>
        <w:spacing w:after="160"/>
      </w:pPr>
    </w:p>
    <w:p>
      <w:pPr>
        <w:spacing w:before="0" w:after="120" w:line="300" w:lineRule="auto"/>
      </w:pPr>
      <w:r>
        <w:rPr>
          <w:rFonts w:ascii="Calibri" w:hAnsi="Calibri"/>
          <w:color w:val="0B2545"/>
          <w:sz w:val="22"/>
        </w:rPr>
        <w:t>This is a launch default, not a final insurance policy. Use it to avoid random one-off decisions, then have counsel and the insurance carrier lock the final terms.</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700"/>
        <w:gridCol w:w="3600"/>
        <w:gridCol w:w="3060"/>
      </w:tblGrid>
      <w:tr>
        <w:tc>
          <w:tcPr>
            <w:tcW w:type="dxa" w:w="27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Situation</w:t>
            </w:r>
          </w:p>
        </w:tc>
        <w:tc>
          <w:tcPr>
            <w:tcW w:type="dxa" w:w="36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Default action</w:t>
            </w:r>
          </w:p>
        </w:tc>
        <w:tc>
          <w:tcPr>
            <w:tcW w:type="dxa" w:w="306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Required record</w:t>
            </w:r>
          </w:p>
        </w:tc>
      </w:tr>
      <w:tr>
        <w:tc>
          <w:tcPr>
            <w:tcW w:type="dxa" w:w="2700"/>
          </w:tcPr>
          <w:p>
            <w:pPr>
              <w:spacing w:before="0" w:after="0" w:line="276" w:lineRule="auto"/>
            </w:pPr>
            <w:r/>
            <w:r>
              <w:rPr>
                <w:rFonts w:ascii="Calibri" w:hAnsi="Calibri"/>
                <w:b w:val="0"/>
                <w:color w:val="0B2545"/>
                <w:sz w:val="15"/>
              </w:rPr>
              <w:t>Travelyt cannot serve route before custody</w:t>
            </w:r>
          </w:p>
        </w:tc>
        <w:tc>
          <w:tcPr>
            <w:tcW w:type="dxa" w:w="3600"/>
          </w:tcPr>
          <w:p>
            <w:pPr>
              <w:spacing w:before="0" w:after="0" w:line="276" w:lineRule="auto"/>
            </w:pPr>
            <w:r/>
            <w:r>
              <w:rPr>
                <w:rFonts w:ascii="Calibri" w:hAnsi="Calibri"/>
                <w:b w:val="0"/>
                <w:color w:val="0B2545"/>
                <w:sz w:val="15"/>
              </w:rPr>
              <w:t>Cancel or modify. Refund Travelyt service fee for unserved work.</w:t>
            </w:r>
          </w:p>
        </w:tc>
        <w:tc>
          <w:tcPr>
            <w:tcW w:type="dxa" w:w="3060"/>
          </w:tcPr>
          <w:p>
            <w:pPr>
              <w:spacing w:before="0" w:after="0" w:line="276" w:lineRule="auto"/>
            </w:pPr>
            <w:r/>
            <w:r>
              <w:rPr>
                <w:rFonts w:ascii="Calibri" w:hAnsi="Calibri"/>
                <w:b w:val="0"/>
                <w:color w:val="0B2545"/>
                <w:sz w:val="15"/>
              </w:rPr>
              <w:t>Reason, customer notice, booking status, payment/refund record.</w:t>
            </w:r>
          </w:p>
        </w:tc>
      </w:tr>
      <w:tr>
        <w:tc>
          <w:tcPr>
            <w:tcW w:type="dxa" w:w="2700"/>
          </w:tcPr>
          <w:p>
            <w:pPr>
              <w:spacing w:before="0" w:after="0" w:line="276" w:lineRule="auto"/>
            </w:pPr>
            <w:r/>
            <w:r>
              <w:rPr>
                <w:rFonts w:ascii="Calibri" w:hAnsi="Calibri"/>
                <w:b w:val="0"/>
                <w:color w:val="0B2545"/>
                <w:sz w:val="15"/>
              </w:rPr>
              <w:t>Customer cancels before driver assignment and more than 24 hours before pickup</w:t>
            </w:r>
          </w:p>
        </w:tc>
        <w:tc>
          <w:tcPr>
            <w:tcW w:type="dxa" w:w="3600"/>
          </w:tcPr>
          <w:p>
            <w:pPr>
              <w:spacing w:before="0" w:after="0" w:line="276" w:lineRule="auto"/>
            </w:pPr>
            <w:r/>
            <w:r>
              <w:rPr>
                <w:rFonts w:ascii="Calibri" w:hAnsi="Calibri"/>
                <w:b w:val="0"/>
                <w:color w:val="0B2545"/>
                <w:sz w:val="15"/>
              </w:rPr>
              <w:t>Refund unless direct costs or special reservation costs were already incurred.</w:t>
            </w:r>
          </w:p>
        </w:tc>
        <w:tc>
          <w:tcPr>
            <w:tcW w:type="dxa" w:w="3060"/>
          </w:tcPr>
          <w:p>
            <w:pPr>
              <w:spacing w:before="0" w:after="0" w:line="276" w:lineRule="auto"/>
            </w:pPr>
            <w:r/>
            <w:r>
              <w:rPr>
                <w:rFonts w:ascii="Calibri" w:hAnsi="Calibri"/>
                <w:b w:val="0"/>
                <w:color w:val="0B2545"/>
                <w:sz w:val="15"/>
              </w:rPr>
              <w:t>Cancellation request timestamp and admin decision.</w:t>
            </w:r>
          </w:p>
        </w:tc>
      </w:tr>
      <w:tr>
        <w:tc>
          <w:tcPr>
            <w:tcW w:type="dxa" w:w="2700"/>
          </w:tcPr>
          <w:p>
            <w:pPr>
              <w:spacing w:before="0" w:after="0" w:line="276" w:lineRule="auto"/>
            </w:pPr>
            <w:r/>
            <w:r>
              <w:rPr>
                <w:rFonts w:ascii="Calibri" w:hAnsi="Calibri"/>
                <w:b w:val="0"/>
                <w:color w:val="0B2545"/>
                <w:sz w:val="15"/>
              </w:rPr>
              <w:t>Customer cancels after driver assignment or within 24 hours</w:t>
            </w:r>
          </w:p>
        </w:tc>
        <w:tc>
          <w:tcPr>
            <w:tcW w:type="dxa" w:w="3600"/>
          </w:tcPr>
          <w:p>
            <w:pPr>
              <w:spacing w:before="0" w:after="0" w:line="276" w:lineRule="auto"/>
            </w:pPr>
            <w:r/>
            <w:r>
              <w:rPr>
                <w:rFonts w:ascii="Calibri" w:hAnsi="Calibri"/>
                <w:b w:val="0"/>
                <w:color w:val="0B2545"/>
                <w:sz w:val="15"/>
              </w:rPr>
              <w:t>Manual review; refund may be reduced by direct costs, driver cost, or failed handoff cost.</w:t>
            </w:r>
          </w:p>
        </w:tc>
        <w:tc>
          <w:tcPr>
            <w:tcW w:type="dxa" w:w="3060"/>
          </w:tcPr>
          <w:p>
            <w:pPr>
              <w:spacing w:before="0" w:after="0" w:line="276" w:lineRule="auto"/>
            </w:pPr>
            <w:r/>
            <w:r>
              <w:rPr>
                <w:rFonts w:ascii="Calibri" w:hAnsi="Calibri"/>
                <w:b w:val="0"/>
                <w:color w:val="0B2545"/>
                <w:sz w:val="15"/>
              </w:rPr>
              <w:t>Driver status, costs, customer communication.</w:t>
            </w:r>
          </w:p>
        </w:tc>
      </w:tr>
      <w:tr>
        <w:tc>
          <w:tcPr>
            <w:tcW w:type="dxa" w:w="2700"/>
          </w:tcPr>
          <w:p>
            <w:pPr>
              <w:spacing w:before="0" w:after="0" w:line="276" w:lineRule="auto"/>
            </w:pPr>
            <w:r/>
            <w:r>
              <w:rPr>
                <w:rFonts w:ascii="Calibri" w:hAnsi="Calibri"/>
                <w:b w:val="0"/>
                <w:color w:val="0B2545"/>
                <w:sz w:val="15"/>
              </w:rPr>
              <w:t>Custody already began</w:t>
            </w:r>
          </w:p>
        </w:tc>
        <w:tc>
          <w:tcPr>
            <w:tcW w:type="dxa" w:w="3600"/>
          </w:tcPr>
          <w:p>
            <w:pPr>
              <w:spacing w:before="0" w:after="0" w:line="276" w:lineRule="auto"/>
            </w:pPr>
            <w:r/>
            <w:r>
              <w:rPr>
                <w:rFonts w:ascii="Calibri" w:hAnsi="Calibri"/>
                <w:b w:val="0"/>
                <w:color w:val="0B2545"/>
                <w:sz w:val="15"/>
              </w:rPr>
              <w:t>No automatic refund. Evaluate service failure, delay, damage, loss, or safety issue through claims/incident process.</w:t>
            </w:r>
          </w:p>
        </w:tc>
        <w:tc>
          <w:tcPr>
            <w:tcW w:type="dxa" w:w="3060"/>
          </w:tcPr>
          <w:p>
            <w:pPr>
              <w:spacing w:before="0" w:after="0" w:line="276" w:lineRule="auto"/>
            </w:pPr>
            <w:r/>
            <w:r>
              <w:rPr>
                <w:rFonts w:ascii="Calibri" w:hAnsi="Calibri"/>
                <w:b w:val="0"/>
                <w:color w:val="0B2545"/>
                <w:sz w:val="15"/>
              </w:rPr>
              <w:t>Custody log, proof, photos, seal status, GPS.</w:t>
            </w:r>
          </w:p>
        </w:tc>
      </w:tr>
      <w:tr>
        <w:tc>
          <w:tcPr>
            <w:tcW w:type="dxa" w:w="2700"/>
          </w:tcPr>
          <w:p>
            <w:pPr>
              <w:spacing w:before="0" w:after="0" w:line="276" w:lineRule="auto"/>
            </w:pPr>
            <w:r/>
            <w:r>
              <w:rPr>
                <w:rFonts w:ascii="Calibri" w:hAnsi="Calibri"/>
                <w:b w:val="0"/>
                <w:color w:val="0B2545"/>
                <w:sz w:val="15"/>
              </w:rPr>
              <w:t>Visible damage / seal issue</w:t>
            </w:r>
          </w:p>
        </w:tc>
        <w:tc>
          <w:tcPr>
            <w:tcW w:type="dxa" w:w="3600"/>
          </w:tcPr>
          <w:p>
            <w:pPr>
              <w:spacing w:before="0" w:after="0" w:line="276" w:lineRule="auto"/>
            </w:pPr>
            <w:r/>
            <w:r>
              <w:rPr>
                <w:rFonts w:ascii="Calibri" w:hAnsi="Calibri"/>
                <w:b w:val="0"/>
                <w:color w:val="0B2545"/>
                <w:sz w:val="15"/>
              </w:rPr>
              <w:t>Open claim immediately; preserve bag, seal, photos, receipt, and chain-of-custody record.</w:t>
            </w:r>
          </w:p>
        </w:tc>
        <w:tc>
          <w:tcPr>
            <w:tcW w:type="dxa" w:w="3060"/>
          </w:tcPr>
          <w:p>
            <w:pPr>
              <w:spacing w:before="0" w:after="0" w:line="276" w:lineRule="auto"/>
            </w:pPr>
            <w:r/>
            <w:r>
              <w:rPr>
                <w:rFonts w:ascii="Calibri" w:hAnsi="Calibri"/>
                <w:b w:val="0"/>
                <w:color w:val="0B2545"/>
                <w:sz w:val="15"/>
              </w:rPr>
              <w:t>Incident form and proof packet.</w:t>
            </w:r>
          </w:p>
        </w:tc>
      </w:tr>
      <w:tr>
        <w:tc>
          <w:tcPr>
            <w:tcW w:type="dxa" w:w="2700"/>
          </w:tcPr>
          <w:p>
            <w:pPr>
              <w:spacing w:before="0" w:after="0" w:line="276" w:lineRule="auto"/>
            </w:pPr>
            <w:r/>
            <w:r>
              <w:rPr>
                <w:rFonts w:ascii="Calibri" w:hAnsi="Calibri"/>
                <w:b w:val="0"/>
                <w:color w:val="0B2545"/>
                <w:sz w:val="15"/>
              </w:rPr>
              <w:t>Lost bag / missing contents</w:t>
            </w:r>
          </w:p>
        </w:tc>
        <w:tc>
          <w:tcPr>
            <w:tcW w:type="dxa" w:w="3600"/>
          </w:tcPr>
          <w:p>
            <w:pPr>
              <w:spacing w:before="0" w:after="0" w:line="276" w:lineRule="auto"/>
            </w:pPr>
            <w:r/>
            <w:r>
              <w:rPr>
                <w:rFonts w:ascii="Calibri" w:hAnsi="Calibri"/>
                <w:b w:val="0"/>
                <w:color w:val="0B2545"/>
                <w:sz w:val="15"/>
              </w:rPr>
              <w:t>Open claim; determine last verified custody point and whether excluded/prohibited items were involved.</w:t>
            </w:r>
          </w:p>
        </w:tc>
        <w:tc>
          <w:tcPr>
            <w:tcW w:type="dxa" w:w="3060"/>
          </w:tcPr>
          <w:p>
            <w:pPr>
              <w:spacing w:before="0" w:after="0" w:line="276" w:lineRule="auto"/>
            </w:pPr>
            <w:r/>
            <w:r>
              <w:rPr>
                <w:rFonts w:ascii="Calibri" w:hAnsi="Calibri"/>
                <w:b w:val="0"/>
                <w:color w:val="0B2545"/>
                <w:sz w:val="15"/>
              </w:rPr>
              <w:t>Full chain-of-custody, contents claim, receipts.</w:t>
            </w:r>
          </w:p>
        </w:tc>
      </w:tr>
    </w:tbl>
    <w:p>
      <w:pPr>
        <w:spacing w:after="80"/>
      </w:pPr>
    </w:p>
    <w:p>
      <w:pPr>
        <w:pStyle w:val="Heading2"/>
        <w:keepNext/>
      </w:pPr>
      <w:r>
        <w:t>Claim Timelines And Coverage</w:t>
      </w:r>
    </w:p>
    <w:p>
      <w:pPr>
        <w:pStyle w:val="ListBullet"/>
        <w:spacing w:before="0" w:after="80" w:line="300" w:lineRule="auto"/>
        <w:ind w:left="540" w:hanging="271"/>
      </w:pPr>
      <w:r>
        <w:rPr>
          <w:rFonts w:ascii="Calibri" w:hAnsi="Calibri"/>
          <w:color w:val="0B2545"/>
          <w:sz w:val="21"/>
        </w:rPr>
        <w:t>Damage claims: customer should report as soon as discovered and no later than 15 days after actual delivery unless counsel/insurance sets a different rule.</w:t>
      </w:r>
    </w:p>
    <w:p>
      <w:pPr>
        <w:pStyle w:val="ListBullet"/>
        <w:spacing w:before="0" w:after="80" w:line="300" w:lineRule="auto"/>
        <w:ind w:left="540" w:hanging="271"/>
      </w:pPr>
      <w:r>
        <w:rPr>
          <w:rFonts w:ascii="Calibri" w:hAnsi="Calibri"/>
          <w:color w:val="0B2545"/>
          <w:sz w:val="21"/>
        </w:rPr>
        <w:t>Lost-item claims: customer should report as soon as discovered and no later than 30 days after expected delivery unless counsel/insurance sets a different rule.</w:t>
      </w:r>
    </w:p>
    <w:p>
      <w:pPr>
        <w:pStyle w:val="ListBullet"/>
        <w:spacing w:before="0" w:after="80" w:line="300" w:lineRule="auto"/>
        <w:ind w:left="540" w:hanging="271"/>
      </w:pPr>
      <w:r>
        <w:rPr>
          <w:rFonts w:ascii="Calibri" w:hAnsi="Calibri"/>
          <w:color w:val="0B2545"/>
          <w:sz w:val="21"/>
        </w:rPr>
        <w:t>Launch public terms currently reference standard coverage capped at $500 per bag while in Travelyt custody; this must be confirmed against the actual insurance policy before scaled rollout.</w:t>
      </w:r>
    </w:p>
    <w:p>
      <w:pPr>
        <w:pStyle w:val="ListBullet"/>
        <w:spacing w:before="0" w:after="80" w:line="300" w:lineRule="auto"/>
        <w:ind w:left="540" w:hanging="271"/>
      </w:pPr>
      <w:r>
        <w:rPr>
          <w:rFonts w:ascii="Calibri" w:hAnsi="Calibri"/>
          <w:color w:val="0B2545"/>
          <w:sz w:val="21"/>
        </w:rPr>
        <w:t>Excluded categories include prohibited items, cash, passports/IDs, jewelry, irreplaceable documents, medicine, fragile valuables, normal wear and tear, cosmetic damage, poor packing, and items customer was told to keep with them.</w:t>
      </w:r>
    </w:p>
    <w:p>
      <w:r>
        <w:br w:type="page"/>
      </w:r>
    </w:p>
    <w:p>
      <w:pPr>
        <w:pStyle w:val="Heading1"/>
        <w:keepNext/>
      </w:pPr>
      <w:r>
        <w:t>8. Driver, Admin, And Access-Code Policy</w:t>
      </w: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100"/>
        <w:gridCol w:w="7260"/>
      </w:tblGrid>
      <w:tr>
        <w:tc>
          <w:tcPr>
            <w:tcW w:type="dxa" w:w="2100"/>
            <w:shd w:fill="F2F4F7"/>
          </w:tcPr>
          <w:p>
            <w:pPr>
              <w:spacing w:before="0" w:after="0" w:line="276" w:lineRule="auto"/>
            </w:pPr>
            <w:r/>
            <w:r>
              <w:rPr>
                <w:rFonts w:ascii="Calibri" w:hAnsi="Calibri"/>
                <w:b/>
                <w:color w:val="1F4D78"/>
                <w:sz w:val="19"/>
              </w:rPr>
              <w:t>Owner</w:t>
            </w:r>
          </w:p>
        </w:tc>
        <w:tc>
          <w:tcPr>
            <w:tcW w:type="dxa" w:w="7260"/>
          </w:tcPr>
          <w:p>
            <w:pPr>
              <w:spacing w:before="0" w:after="0" w:line="276" w:lineRule="auto"/>
            </w:pPr>
            <w:r/>
            <w:r>
              <w:rPr>
                <w:rFonts w:ascii="Calibri" w:hAnsi="Calibri"/>
                <w:b w:val="0"/>
                <w:color w:val="0B2545"/>
                <w:sz w:val="19"/>
              </w:rPr>
              <w:t>Admin / dispatch</w:t>
            </w:r>
          </w:p>
        </w:tc>
      </w:tr>
      <w:tr>
        <w:tc>
          <w:tcPr>
            <w:tcW w:type="dxa" w:w="2100"/>
            <w:shd w:fill="F2F4F7"/>
          </w:tcPr>
          <w:p>
            <w:pPr>
              <w:spacing w:before="0" w:after="0" w:line="276" w:lineRule="auto"/>
            </w:pPr>
            <w:r/>
            <w:r>
              <w:rPr>
                <w:rFonts w:ascii="Calibri" w:hAnsi="Calibri"/>
                <w:b/>
                <w:color w:val="1F4D78"/>
                <w:sz w:val="19"/>
              </w:rPr>
              <w:t>Public status</w:t>
            </w:r>
          </w:p>
        </w:tc>
        <w:tc>
          <w:tcPr>
            <w:tcW w:type="dxa" w:w="7260"/>
          </w:tcPr>
          <w:p>
            <w:pPr>
              <w:spacing w:before="0" w:after="0" w:line="276" w:lineRule="auto"/>
            </w:pPr>
            <w:r/>
            <w:r>
              <w:rPr>
                <w:rFonts w:ascii="Calibri" w:hAnsi="Calibri"/>
                <w:b w:val="0"/>
                <w:color w:val="0B2545"/>
                <w:sz w:val="19"/>
              </w:rPr>
              <w:t>Internal only; summarized in Doc 17.</w:t>
            </w:r>
          </w:p>
        </w:tc>
      </w:tr>
      <w:tr>
        <w:tc>
          <w:tcPr>
            <w:tcW w:type="dxa" w:w="2100"/>
            <w:shd w:fill="F2F4F7"/>
          </w:tcPr>
          <w:p>
            <w:pPr>
              <w:spacing w:before="0" w:after="0" w:line="276" w:lineRule="auto"/>
            </w:pPr>
            <w:r/>
            <w:r>
              <w:rPr>
                <w:rFonts w:ascii="Calibri" w:hAnsi="Calibri"/>
                <w:b/>
                <w:color w:val="1F4D78"/>
                <w:sz w:val="19"/>
              </w:rPr>
              <w:t>Launch rule</w:t>
            </w:r>
          </w:p>
        </w:tc>
        <w:tc>
          <w:tcPr>
            <w:tcW w:type="dxa" w:w="7260"/>
          </w:tcPr>
          <w:p>
            <w:pPr>
              <w:spacing w:before="0" w:after="0" w:line="276" w:lineRule="auto"/>
            </w:pPr>
            <w:r/>
            <w:r>
              <w:rPr>
                <w:rFonts w:ascii="Calibri" w:hAnsi="Calibri"/>
                <w:b w:val="0"/>
                <w:color w:val="0B2545"/>
                <w:sz w:val="19"/>
              </w:rPr>
              <w:t>Use this as the operating rule today; have counsel/vendor partners review before scaled rollout.</w:t>
            </w:r>
          </w:p>
        </w:tc>
      </w:tr>
    </w:tbl>
    <w:p>
      <w:pPr>
        <w:spacing w:after="160"/>
      </w:pPr>
    </w:p>
    <w:p>
      <w:pPr>
        <w:spacing w:before="0" w:after="120" w:line="300" w:lineRule="auto"/>
      </w:pPr>
      <w:r>
        <w:rPr>
          <w:rFonts w:ascii="Calibri" w:hAnsi="Calibri"/>
          <w:color w:val="0B2545"/>
          <w:sz w:val="22"/>
        </w:rPr>
        <w:t>Driver access is a custody credential, not an employment approval and not a background-check substitute. One code belongs to one named driver. The full code is shown once, sent privately, and revoked after termination, suspected sharing, stale tests, or incidents.</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100"/>
        <w:gridCol w:w="4050"/>
        <w:gridCol w:w="3210"/>
      </w:tblGrid>
      <w:tr>
        <w:tc>
          <w:tcPr>
            <w:tcW w:type="dxa" w:w="21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Control</w:t>
            </w:r>
          </w:p>
        </w:tc>
        <w:tc>
          <w:tcPr>
            <w:tcW w:type="dxa" w:w="405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Pass condition</w:t>
            </w:r>
          </w:p>
        </w:tc>
        <w:tc>
          <w:tcPr>
            <w:tcW w:type="dxa" w:w="321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Failure</w:t>
            </w:r>
          </w:p>
        </w:tc>
      </w:tr>
      <w:tr>
        <w:tc>
          <w:tcPr>
            <w:tcW w:type="dxa" w:w="2100"/>
          </w:tcPr>
          <w:p>
            <w:pPr>
              <w:spacing w:before="0" w:after="0" w:line="276" w:lineRule="auto"/>
            </w:pPr>
            <w:r/>
            <w:r>
              <w:rPr>
                <w:rFonts w:ascii="Calibri" w:hAnsi="Calibri"/>
                <w:b w:val="0"/>
                <w:color w:val="0B2545"/>
                <w:sz w:val="16"/>
              </w:rPr>
              <w:t>Admin login</w:t>
            </w:r>
          </w:p>
        </w:tc>
        <w:tc>
          <w:tcPr>
            <w:tcW w:type="dxa" w:w="4050"/>
          </w:tcPr>
          <w:p>
            <w:pPr>
              <w:spacing w:before="0" w:after="0" w:line="276" w:lineRule="auto"/>
            </w:pPr>
            <w:r/>
            <w:r>
              <w:rPr>
                <w:rFonts w:ascii="Calibri" w:hAnsi="Calibri"/>
                <w:b w:val="0"/>
                <w:color w:val="0B2545"/>
                <w:sz w:val="16"/>
              </w:rPr>
              <w:t>Admin can open /admin and see booking/driver-code areas.</w:t>
            </w:r>
          </w:p>
        </w:tc>
        <w:tc>
          <w:tcPr>
            <w:tcW w:type="dxa" w:w="3210"/>
          </w:tcPr>
          <w:p>
            <w:pPr>
              <w:spacing w:before="0" w:after="0" w:line="276" w:lineRule="auto"/>
            </w:pPr>
            <w:r/>
            <w:r>
              <w:rPr>
                <w:rFonts w:ascii="Calibri" w:hAnsi="Calibri"/>
                <w:b w:val="0"/>
                <w:color w:val="0B2545"/>
                <w:sz w:val="16"/>
              </w:rPr>
              <w:t>Anyone without admin role can create/revoke codes or move admin-only statuses.</w:t>
            </w:r>
          </w:p>
        </w:tc>
      </w:tr>
      <w:tr>
        <w:tc>
          <w:tcPr>
            <w:tcW w:type="dxa" w:w="2100"/>
          </w:tcPr>
          <w:p>
            <w:pPr>
              <w:spacing w:before="0" w:after="0" w:line="276" w:lineRule="auto"/>
            </w:pPr>
            <w:r/>
            <w:r>
              <w:rPr>
                <w:rFonts w:ascii="Calibri" w:hAnsi="Calibri"/>
                <w:b w:val="0"/>
                <w:color w:val="0B2545"/>
                <w:sz w:val="16"/>
              </w:rPr>
              <w:t>Driver code</w:t>
            </w:r>
          </w:p>
        </w:tc>
        <w:tc>
          <w:tcPr>
            <w:tcW w:type="dxa" w:w="4050"/>
          </w:tcPr>
          <w:p>
            <w:pPr>
              <w:spacing w:before="0" w:after="0" w:line="276" w:lineRule="auto"/>
            </w:pPr>
            <w:r/>
            <w:r>
              <w:rPr>
                <w:rFonts w:ascii="Calibri" w:hAnsi="Calibri"/>
                <w:b w:val="0"/>
                <w:color w:val="0B2545"/>
                <w:sz w:val="16"/>
              </w:rPr>
              <w:t>One active code maps to one exact courier name.</w:t>
            </w:r>
          </w:p>
        </w:tc>
        <w:tc>
          <w:tcPr>
            <w:tcW w:type="dxa" w:w="3210"/>
          </w:tcPr>
          <w:p>
            <w:pPr>
              <w:spacing w:before="0" w:after="0" w:line="276" w:lineRule="auto"/>
            </w:pPr>
            <w:r/>
            <w:r>
              <w:rPr>
                <w:rFonts w:ascii="Calibri" w:hAnsi="Calibri"/>
                <w:b w:val="0"/>
                <w:color w:val="0B2545"/>
                <w:sz w:val="16"/>
              </w:rPr>
              <w:t>Generic code can impersonate another driver.</w:t>
            </w:r>
          </w:p>
        </w:tc>
      </w:tr>
      <w:tr>
        <w:tc>
          <w:tcPr>
            <w:tcW w:type="dxa" w:w="2100"/>
          </w:tcPr>
          <w:p>
            <w:pPr>
              <w:spacing w:before="0" w:after="0" w:line="276" w:lineRule="auto"/>
            </w:pPr>
            <w:r/>
            <w:r>
              <w:rPr>
                <w:rFonts w:ascii="Calibri" w:hAnsi="Calibri"/>
                <w:b w:val="0"/>
                <w:color w:val="0B2545"/>
                <w:sz w:val="16"/>
              </w:rPr>
              <w:t>Driver login</w:t>
            </w:r>
          </w:p>
        </w:tc>
        <w:tc>
          <w:tcPr>
            <w:tcW w:type="dxa" w:w="4050"/>
          </w:tcPr>
          <w:p>
            <w:pPr>
              <w:spacing w:before="0" w:after="0" w:line="276" w:lineRule="auto"/>
            </w:pPr>
            <w:r/>
            <w:r>
              <w:rPr>
                <w:rFonts w:ascii="Calibri" w:hAnsi="Calibri"/>
                <w:b w:val="0"/>
                <w:color w:val="0B2545"/>
                <w:sz w:val="16"/>
              </w:rPr>
              <w:t>Driver opens /driver, enters exact name/code, sees session.</w:t>
            </w:r>
          </w:p>
        </w:tc>
        <w:tc>
          <w:tcPr>
            <w:tcW w:type="dxa" w:w="3210"/>
          </w:tcPr>
          <w:p>
            <w:pPr>
              <w:spacing w:before="0" w:after="0" w:line="276" w:lineRule="auto"/>
            </w:pPr>
            <w:r/>
            <w:r>
              <w:rPr>
                <w:rFonts w:ascii="Calibri" w:hAnsi="Calibri"/>
                <w:b w:val="0"/>
                <w:color w:val="0B2545"/>
                <w:sz w:val="16"/>
              </w:rPr>
              <w:t>Wrong name/code or stale code is accepted.</w:t>
            </w:r>
          </w:p>
        </w:tc>
      </w:tr>
      <w:tr>
        <w:tc>
          <w:tcPr>
            <w:tcW w:type="dxa" w:w="2100"/>
          </w:tcPr>
          <w:p>
            <w:pPr>
              <w:spacing w:before="0" w:after="0" w:line="276" w:lineRule="auto"/>
            </w:pPr>
            <w:r/>
            <w:r>
              <w:rPr>
                <w:rFonts w:ascii="Calibri" w:hAnsi="Calibri"/>
                <w:b w:val="0"/>
                <w:color w:val="0B2545"/>
                <w:sz w:val="16"/>
              </w:rPr>
              <w:t>Assignment</w:t>
            </w:r>
          </w:p>
        </w:tc>
        <w:tc>
          <w:tcPr>
            <w:tcW w:type="dxa" w:w="4050"/>
          </w:tcPr>
          <w:p>
            <w:pPr>
              <w:spacing w:before="0" w:after="0" w:line="276" w:lineRule="auto"/>
            </w:pPr>
            <w:r/>
            <w:r>
              <w:rPr>
                <w:rFonts w:ascii="Calibri" w:hAnsi="Calibri"/>
                <w:b w:val="0"/>
                <w:color w:val="0B2545"/>
                <w:sz w:val="16"/>
              </w:rPr>
              <w:t>Admin assigns confirmed booking to the same driver name.</w:t>
            </w:r>
          </w:p>
        </w:tc>
        <w:tc>
          <w:tcPr>
            <w:tcW w:type="dxa" w:w="3210"/>
          </w:tcPr>
          <w:p>
            <w:pPr>
              <w:spacing w:before="0" w:after="0" w:line="276" w:lineRule="auto"/>
            </w:pPr>
            <w:r/>
            <w:r>
              <w:rPr>
                <w:rFonts w:ascii="Calibri" w:hAnsi="Calibri"/>
                <w:b w:val="0"/>
                <w:color w:val="0B2545"/>
                <w:sz w:val="16"/>
              </w:rPr>
              <w:t>Driver sees no job or sees another driver's job.</w:t>
            </w:r>
          </w:p>
        </w:tc>
      </w:tr>
      <w:tr>
        <w:tc>
          <w:tcPr>
            <w:tcW w:type="dxa" w:w="2100"/>
          </w:tcPr>
          <w:p>
            <w:pPr>
              <w:spacing w:before="0" w:after="0" w:line="276" w:lineRule="auto"/>
            </w:pPr>
            <w:r/>
            <w:r>
              <w:rPr>
                <w:rFonts w:ascii="Calibri" w:hAnsi="Calibri"/>
                <w:b w:val="0"/>
                <w:color w:val="0B2545"/>
                <w:sz w:val="16"/>
              </w:rPr>
              <w:t>Status path</w:t>
            </w:r>
          </w:p>
        </w:tc>
        <w:tc>
          <w:tcPr>
            <w:tcW w:type="dxa" w:w="4050"/>
          </w:tcPr>
          <w:p>
            <w:pPr>
              <w:spacing w:before="0" w:after="0" w:line="276" w:lineRule="auto"/>
            </w:pPr>
            <w:r/>
            <w:r>
              <w:rPr>
                <w:rFonts w:ascii="Calibri" w:hAnsi="Calibri"/>
                <w:b w:val="0"/>
                <w:color w:val="0B2545"/>
                <w:sz w:val="16"/>
              </w:rPr>
              <w:t>Booking moves in order and audit history records actor/reason.</w:t>
            </w:r>
          </w:p>
        </w:tc>
        <w:tc>
          <w:tcPr>
            <w:tcW w:type="dxa" w:w="3210"/>
          </w:tcPr>
          <w:p>
            <w:pPr>
              <w:spacing w:before="0" w:after="0" w:line="276" w:lineRule="auto"/>
            </w:pPr>
            <w:r/>
            <w:r>
              <w:rPr>
                <w:rFonts w:ascii="Calibri" w:hAnsi="Calibri"/>
                <w:b w:val="0"/>
                <w:color w:val="0B2545"/>
                <w:sz w:val="16"/>
              </w:rPr>
              <w:t>Custody status jumps without proof or admin exception.</w:t>
            </w:r>
          </w:p>
        </w:tc>
      </w:tr>
      <w:tr>
        <w:tc>
          <w:tcPr>
            <w:tcW w:type="dxa" w:w="2100"/>
          </w:tcPr>
          <w:p>
            <w:pPr>
              <w:spacing w:before="0" w:after="0" w:line="276" w:lineRule="auto"/>
            </w:pPr>
            <w:r/>
            <w:r>
              <w:rPr>
                <w:rFonts w:ascii="Calibri" w:hAnsi="Calibri"/>
                <w:b w:val="0"/>
                <w:color w:val="0B2545"/>
                <w:sz w:val="16"/>
              </w:rPr>
              <w:t>Cleanup</w:t>
            </w:r>
          </w:p>
        </w:tc>
        <w:tc>
          <w:tcPr>
            <w:tcW w:type="dxa" w:w="4050"/>
          </w:tcPr>
          <w:p>
            <w:pPr>
              <w:spacing w:before="0" w:after="0" w:line="276" w:lineRule="auto"/>
            </w:pPr>
            <w:r/>
            <w:r>
              <w:rPr>
                <w:rFonts w:ascii="Calibri" w:hAnsi="Calibri"/>
                <w:b w:val="0"/>
                <w:color w:val="0B2545"/>
                <w:sz w:val="16"/>
              </w:rPr>
              <w:t>Test codes/bookings are revoked, archived, or clearly labeled after the run.</w:t>
            </w:r>
          </w:p>
        </w:tc>
        <w:tc>
          <w:tcPr>
            <w:tcW w:type="dxa" w:w="3210"/>
          </w:tcPr>
          <w:p>
            <w:pPr>
              <w:spacing w:before="0" w:after="0" w:line="276" w:lineRule="auto"/>
            </w:pPr>
            <w:r/>
            <w:r>
              <w:rPr>
                <w:rFonts w:ascii="Calibri" w:hAnsi="Calibri"/>
                <w:b w:val="0"/>
                <w:color w:val="0B2545"/>
                <w:sz w:val="16"/>
              </w:rPr>
              <w:t>Stale rows stay active and confuse live operations.</w:t>
            </w:r>
          </w:p>
        </w:tc>
      </w:tr>
    </w:tbl>
    <w:p>
      <w:pPr>
        <w:spacing w:after="80"/>
      </w:pP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vAlign w:val="center"/>
            <w:tcMar>
              <w:top w:w="80" w:type="dxa"/>
              <w:bottom w:w="80" w:type="dxa"/>
              <w:start w:w="120" w:type="dxa"/>
              <w:end w:w="120" w:type="dxa"/>
            </w:tcMar>
            <w:shd w:fill="EAF6EF"/>
          </w:tcPr>
          <w:p>
            <w:pPr>
              <w:spacing w:before="0" w:after="40" w:line="283" w:lineRule="auto"/>
            </w:pPr>
            <w:r/>
            <w:r>
              <w:rPr>
                <w:rFonts w:ascii="Calibri" w:hAnsi="Calibri"/>
                <w:b/>
                <w:color w:val="1F5830"/>
                <w:sz w:val="20"/>
              </w:rPr>
              <w:t xml:space="preserve">Stale-code interpretation: </w:t>
            </w:r>
            <w:r>
              <w:rPr>
                <w:rFonts w:ascii="Calibri" w:hAnsi="Calibri"/>
                <w:color w:val="0B2545"/>
                <w:sz w:val="20"/>
              </w:rPr>
              <w:t>A stale, expired, revoked, or wrong-name code being caught can be a good signal. The workflow is failing only if stale credentials are accepted, the wrong courier can act, or custody moves without required proof/GPS/admin review.</w:t>
            </w:r>
          </w:p>
        </w:tc>
      </w:tr>
    </w:tbl>
    <w:p>
      <w:pPr>
        <w:spacing w:after="40"/>
      </w:pPr>
    </w:p>
    <w:p>
      <w:r>
        <w:br w:type="page"/>
      </w:r>
    </w:p>
    <w:p>
      <w:pPr>
        <w:pStyle w:val="Heading1"/>
        <w:keepNext/>
      </w:pPr>
      <w:r>
        <w:t>9. Booking Request Control Policy</w:t>
      </w: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100"/>
        <w:gridCol w:w="7260"/>
      </w:tblGrid>
      <w:tr>
        <w:tc>
          <w:tcPr>
            <w:tcW w:type="dxa" w:w="2100"/>
            <w:shd w:fill="F2F4F7"/>
          </w:tcPr>
          <w:p>
            <w:pPr>
              <w:spacing w:before="0" w:after="0" w:line="276" w:lineRule="auto"/>
            </w:pPr>
            <w:r/>
            <w:r>
              <w:rPr>
                <w:rFonts w:ascii="Calibri" w:hAnsi="Calibri"/>
                <w:b/>
                <w:color w:val="1F4D78"/>
                <w:sz w:val="19"/>
              </w:rPr>
              <w:t>Owner</w:t>
            </w:r>
          </w:p>
        </w:tc>
        <w:tc>
          <w:tcPr>
            <w:tcW w:type="dxa" w:w="7260"/>
          </w:tcPr>
          <w:p>
            <w:pPr>
              <w:spacing w:before="0" w:after="0" w:line="276" w:lineRule="auto"/>
            </w:pPr>
            <w:r/>
            <w:r>
              <w:rPr>
                <w:rFonts w:ascii="Calibri" w:hAnsi="Calibri"/>
                <w:b w:val="0"/>
                <w:color w:val="0B2545"/>
                <w:sz w:val="19"/>
              </w:rPr>
              <w:t>Operations / admin</w:t>
            </w:r>
          </w:p>
        </w:tc>
      </w:tr>
      <w:tr>
        <w:tc>
          <w:tcPr>
            <w:tcW w:type="dxa" w:w="2100"/>
            <w:shd w:fill="F2F4F7"/>
          </w:tcPr>
          <w:p>
            <w:pPr>
              <w:spacing w:before="0" w:after="0" w:line="276" w:lineRule="auto"/>
            </w:pPr>
            <w:r/>
            <w:r>
              <w:rPr>
                <w:rFonts w:ascii="Calibri" w:hAnsi="Calibri"/>
                <w:b/>
                <w:color w:val="1F4D78"/>
                <w:sz w:val="19"/>
              </w:rPr>
              <w:t>Public status</w:t>
            </w:r>
          </w:p>
        </w:tc>
        <w:tc>
          <w:tcPr>
            <w:tcW w:type="dxa" w:w="7260"/>
          </w:tcPr>
          <w:p>
            <w:pPr>
              <w:spacing w:before="0" w:after="0" w:line="276" w:lineRule="auto"/>
            </w:pPr>
            <w:r/>
            <w:r>
              <w:rPr>
                <w:rFonts w:ascii="Calibri" w:hAnsi="Calibri"/>
                <w:b w:val="0"/>
                <w:color w:val="0B2545"/>
                <w:sz w:val="19"/>
              </w:rPr>
              <w:t>Public booking/quote flow only.</w:t>
            </w:r>
          </w:p>
        </w:tc>
      </w:tr>
      <w:tr>
        <w:tc>
          <w:tcPr>
            <w:tcW w:type="dxa" w:w="2100"/>
            <w:shd w:fill="F2F4F7"/>
          </w:tcPr>
          <w:p>
            <w:pPr>
              <w:spacing w:before="0" w:after="0" w:line="276" w:lineRule="auto"/>
            </w:pPr>
            <w:r/>
            <w:r>
              <w:rPr>
                <w:rFonts w:ascii="Calibri" w:hAnsi="Calibri"/>
                <w:b/>
                <w:color w:val="1F4D78"/>
                <w:sz w:val="19"/>
              </w:rPr>
              <w:t>Launch rule</w:t>
            </w:r>
          </w:p>
        </w:tc>
        <w:tc>
          <w:tcPr>
            <w:tcW w:type="dxa" w:w="7260"/>
          </w:tcPr>
          <w:p>
            <w:pPr>
              <w:spacing w:before="0" w:after="0" w:line="276" w:lineRule="auto"/>
            </w:pPr>
            <w:r/>
            <w:r>
              <w:rPr>
                <w:rFonts w:ascii="Calibri" w:hAnsi="Calibri"/>
                <w:b w:val="0"/>
                <w:color w:val="0B2545"/>
                <w:sz w:val="19"/>
              </w:rPr>
              <w:t>Use this as the operating rule today; have counsel/vendor partners review before scaled rollout.</w:t>
            </w:r>
          </w:p>
        </w:tc>
      </w:tr>
    </w:tbl>
    <w:p>
      <w:pPr>
        <w:spacing w:after="160"/>
      </w:pPr>
    </w:p>
    <w:p>
      <w:pPr>
        <w:spacing w:before="0" w:after="120" w:line="300" w:lineRule="auto"/>
      </w:pPr>
      <w:r>
        <w:rPr>
          <w:rFonts w:ascii="Calibri" w:hAnsi="Calibri"/>
          <w:color w:val="0B2545"/>
          <w:sz w:val="22"/>
        </w:rPr>
        <w:t>Travelyt public/customer-created bookings must start as pending requests. The public side can collect trip, bag, contact, pickup, delivery, and handling details, but it cannot create a paid, assigned, accepted, tendered, or completed operational state without an operations action or payment confirmation.</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1900"/>
        <w:gridCol w:w="4300"/>
        <w:gridCol w:w="3160"/>
      </w:tblGrid>
      <w:tr>
        <w:tc>
          <w:tcPr>
            <w:tcW w:type="dxa" w:w="19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Control</w:t>
            </w:r>
          </w:p>
        </w:tc>
        <w:tc>
          <w:tcPr>
            <w:tcW w:type="dxa" w:w="43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Launch rule</w:t>
            </w:r>
          </w:p>
        </w:tc>
        <w:tc>
          <w:tcPr>
            <w:tcW w:type="dxa" w:w="316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Admin use</w:t>
            </w:r>
          </w:p>
        </w:tc>
      </w:tr>
      <w:tr>
        <w:tc>
          <w:tcPr>
            <w:tcW w:type="dxa" w:w="1900"/>
          </w:tcPr>
          <w:p>
            <w:pPr>
              <w:spacing w:before="0" w:after="0" w:line="276" w:lineRule="auto"/>
            </w:pPr>
            <w:r/>
            <w:r>
              <w:rPr>
                <w:rFonts w:ascii="Calibri" w:hAnsi="Calibri"/>
                <w:b w:val="0"/>
                <w:color w:val="0B2545"/>
                <w:sz w:val="16"/>
              </w:rPr>
              <w:t>Public request</w:t>
            </w:r>
          </w:p>
        </w:tc>
        <w:tc>
          <w:tcPr>
            <w:tcW w:type="dxa" w:w="4300"/>
          </w:tcPr>
          <w:p>
            <w:pPr>
              <w:spacing w:before="0" w:after="0" w:line="276" w:lineRule="auto"/>
            </w:pPr>
            <w:r/>
            <w:r>
              <w:rPr>
                <w:rFonts w:ascii="Calibri" w:hAnsi="Calibri"/>
                <w:b w:val="0"/>
                <w:color w:val="0B2545"/>
                <w:sz w:val="16"/>
              </w:rPr>
              <w:t>Creates pending booking/request only.</w:t>
            </w:r>
          </w:p>
        </w:tc>
        <w:tc>
          <w:tcPr>
            <w:tcW w:type="dxa" w:w="3160"/>
          </w:tcPr>
          <w:p>
            <w:pPr>
              <w:spacing w:before="0" w:after="0" w:line="276" w:lineRule="auto"/>
            </w:pPr>
            <w:r/>
            <w:r>
              <w:rPr>
                <w:rFonts w:ascii="Calibri" w:hAnsi="Calibri"/>
                <w:b w:val="0"/>
                <w:color w:val="0B2545"/>
                <w:sz w:val="16"/>
              </w:rPr>
              <w:t>Review feasibility, price, payment path, customer identity, driver availability, and service lane.</w:t>
            </w:r>
          </w:p>
        </w:tc>
      </w:tr>
      <w:tr>
        <w:tc>
          <w:tcPr>
            <w:tcW w:type="dxa" w:w="1900"/>
          </w:tcPr>
          <w:p>
            <w:pPr>
              <w:spacing w:before="0" w:after="0" w:line="276" w:lineRule="auto"/>
            </w:pPr>
            <w:r/>
            <w:r>
              <w:rPr>
                <w:rFonts w:ascii="Calibri" w:hAnsi="Calibri"/>
                <w:b w:val="0"/>
                <w:color w:val="0B2545"/>
                <w:sz w:val="16"/>
              </w:rPr>
              <w:t>Payment</w:t>
            </w:r>
          </w:p>
        </w:tc>
        <w:tc>
          <w:tcPr>
            <w:tcW w:type="dxa" w:w="4300"/>
          </w:tcPr>
          <w:p>
            <w:pPr>
              <w:spacing w:before="0" w:after="0" w:line="276" w:lineRule="auto"/>
            </w:pPr>
            <w:r/>
            <w:r>
              <w:rPr>
                <w:rFonts w:ascii="Calibri" w:hAnsi="Calibri"/>
                <w:b w:val="0"/>
                <w:color w:val="0B2545"/>
                <w:sz w:val="16"/>
              </w:rPr>
              <w:t>Payment confirmation can move a pending booking to paid through the approved checkout/webhook path.</w:t>
            </w:r>
          </w:p>
        </w:tc>
        <w:tc>
          <w:tcPr>
            <w:tcW w:type="dxa" w:w="3160"/>
          </w:tcPr>
          <w:p>
            <w:pPr>
              <w:spacing w:before="0" w:after="0" w:line="276" w:lineRule="auto"/>
            </w:pPr>
            <w:r/>
            <w:r>
              <w:rPr>
                <w:rFonts w:ascii="Calibri" w:hAnsi="Calibri"/>
                <w:b w:val="0"/>
                <w:color w:val="0B2545"/>
                <w:sz w:val="16"/>
              </w:rPr>
              <w:t>Assign driver only after confirmed payment or approved manual exception.</w:t>
            </w:r>
          </w:p>
        </w:tc>
      </w:tr>
      <w:tr>
        <w:tc>
          <w:tcPr>
            <w:tcW w:type="dxa" w:w="1900"/>
          </w:tcPr>
          <w:p>
            <w:pPr>
              <w:spacing w:before="0" w:after="0" w:line="276" w:lineRule="auto"/>
            </w:pPr>
            <w:r/>
            <w:r>
              <w:rPr>
                <w:rFonts w:ascii="Calibri" w:hAnsi="Calibri"/>
                <w:b w:val="0"/>
                <w:color w:val="0B2545"/>
                <w:sz w:val="16"/>
              </w:rPr>
              <w:t>Driver assignment</w:t>
            </w:r>
          </w:p>
        </w:tc>
        <w:tc>
          <w:tcPr>
            <w:tcW w:type="dxa" w:w="4300"/>
          </w:tcPr>
          <w:p>
            <w:pPr>
              <w:spacing w:before="0" w:after="0" w:line="276" w:lineRule="auto"/>
            </w:pPr>
            <w:r/>
            <w:r>
              <w:rPr>
                <w:rFonts w:ascii="Calibri" w:hAnsi="Calibri"/>
                <w:b w:val="0"/>
                <w:color w:val="0B2545"/>
                <w:sz w:val="16"/>
              </w:rPr>
              <w:t>Only admin/operations assigns a driver to a confirmed booking.</w:t>
            </w:r>
          </w:p>
        </w:tc>
        <w:tc>
          <w:tcPr>
            <w:tcW w:type="dxa" w:w="3160"/>
          </w:tcPr>
          <w:p>
            <w:pPr>
              <w:spacing w:before="0" w:after="0" w:line="276" w:lineRule="auto"/>
            </w:pPr>
            <w:r/>
            <w:r>
              <w:rPr>
                <w:rFonts w:ascii="Calibri" w:hAnsi="Calibri"/>
                <w:b w:val="0"/>
                <w:color w:val="0B2545"/>
                <w:sz w:val="16"/>
              </w:rPr>
              <w:t>Driver sees job only when assigned or eligible.</w:t>
            </w:r>
          </w:p>
        </w:tc>
      </w:tr>
      <w:tr>
        <w:tc>
          <w:tcPr>
            <w:tcW w:type="dxa" w:w="1900"/>
          </w:tcPr>
          <w:p>
            <w:pPr>
              <w:spacing w:before="0" w:after="0" w:line="276" w:lineRule="auto"/>
            </w:pPr>
            <w:r/>
            <w:r>
              <w:rPr>
                <w:rFonts w:ascii="Calibri" w:hAnsi="Calibri"/>
                <w:b w:val="0"/>
                <w:color w:val="0B2545"/>
                <w:sz w:val="16"/>
              </w:rPr>
              <w:t>Status movement</w:t>
            </w:r>
          </w:p>
        </w:tc>
        <w:tc>
          <w:tcPr>
            <w:tcW w:type="dxa" w:w="4300"/>
          </w:tcPr>
          <w:p>
            <w:pPr>
              <w:spacing w:before="0" w:after="0" w:line="276" w:lineRule="auto"/>
            </w:pPr>
            <w:r/>
            <w:r>
              <w:rPr>
                <w:rFonts w:ascii="Calibri" w:hAnsi="Calibri"/>
                <w:b w:val="0"/>
                <w:color w:val="0B2545"/>
                <w:sz w:val="16"/>
              </w:rPr>
              <w:t>Driver can move only allowed custody statuses and only with proof/GPS gates.</w:t>
            </w:r>
          </w:p>
        </w:tc>
        <w:tc>
          <w:tcPr>
            <w:tcW w:type="dxa" w:w="3160"/>
          </w:tcPr>
          <w:p>
            <w:pPr>
              <w:spacing w:before="0" w:after="0" w:line="276" w:lineRule="auto"/>
            </w:pPr>
            <w:r/>
            <w:r>
              <w:rPr>
                <w:rFonts w:ascii="Calibri" w:hAnsi="Calibri"/>
                <w:b w:val="0"/>
                <w:color w:val="0B2545"/>
                <w:sz w:val="16"/>
              </w:rPr>
              <w:t>Admin can override only for documented operations cleanup.</w:t>
            </w:r>
          </w:p>
        </w:tc>
      </w:tr>
    </w:tbl>
    <w:p>
      <w:pPr>
        <w:spacing w:after="80"/>
      </w:pPr>
    </w:p>
    <w:p>
      <w:pPr>
        <w:pStyle w:val="ListBullet"/>
        <w:spacing w:before="0" w:after="80" w:line="300" w:lineRule="auto"/>
        <w:ind w:left="540" w:hanging="271"/>
      </w:pPr>
      <w:r>
        <w:rPr>
          <w:rFonts w:ascii="Calibri" w:hAnsi="Calibri"/>
          <w:color w:val="0B2545"/>
          <w:sz w:val="21"/>
        </w:rPr>
        <w:t>Public booking requests must be treated as unconfirmed until admin verifies feasibility and payment path.</w:t>
      </w:r>
    </w:p>
    <w:p>
      <w:pPr>
        <w:pStyle w:val="ListBullet"/>
        <w:spacing w:before="0" w:after="80" w:line="300" w:lineRule="auto"/>
        <w:ind w:left="540" w:hanging="271"/>
      </w:pPr>
      <w:r>
        <w:rPr>
          <w:rFonts w:ascii="Calibri" w:hAnsi="Calibri"/>
          <w:color w:val="0B2545"/>
          <w:sz w:val="21"/>
        </w:rPr>
        <w:t>Customer/customer-support notes can be preserved in the booking, but they do not replace admin confirmation.</w:t>
      </w:r>
    </w:p>
    <w:p>
      <w:pPr>
        <w:pStyle w:val="ListBullet"/>
        <w:spacing w:before="0" w:after="80" w:line="300" w:lineRule="auto"/>
        <w:ind w:left="540" w:hanging="271"/>
      </w:pPr>
      <w:r>
        <w:rPr>
          <w:rFonts w:ascii="Calibri" w:hAnsi="Calibri"/>
          <w:color w:val="0B2545"/>
          <w:sz w:val="21"/>
        </w:rPr>
        <w:t>If Travelyt later needs a new customer request channel, it should be reintroduced as an approved feature with privacy, terms, and route review.</w:t>
      </w:r>
    </w:p>
    <w:p>
      <w:r>
        <w:br w:type="page"/>
      </w:r>
    </w:p>
    <w:p>
      <w:pPr>
        <w:pStyle w:val="Heading1"/>
        <w:keepNext/>
      </w:pPr>
      <w:r>
        <w:t>10. Custody, Proof, And GPS Policy</w:t>
      </w: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100"/>
        <w:gridCol w:w="7260"/>
      </w:tblGrid>
      <w:tr>
        <w:tc>
          <w:tcPr>
            <w:tcW w:type="dxa" w:w="2100"/>
            <w:shd w:fill="F2F4F7"/>
          </w:tcPr>
          <w:p>
            <w:pPr>
              <w:spacing w:before="0" w:after="0" w:line="276" w:lineRule="auto"/>
            </w:pPr>
            <w:r/>
            <w:r>
              <w:rPr>
                <w:rFonts w:ascii="Calibri" w:hAnsi="Calibri"/>
                <w:b/>
                <w:color w:val="1F4D78"/>
                <w:sz w:val="19"/>
              </w:rPr>
              <w:t>Owner</w:t>
            </w:r>
          </w:p>
        </w:tc>
        <w:tc>
          <w:tcPr>
            <w:tcW w:type="dxa" w:w="7260"/>
          </w:tcPr>
          <w:p>
            <w:pPr>
              <w:spacing w:before="0" w:after="0" w:line="276" w:lineRule="auto"/>
            </w:pPr>
            <w:r/>
            <w:r>
              <w:rPr>
                <w:rFonts w:ascii="Calibri" w:hAnsi="Calibri"/>
                <w:b w:val="0"/>
                <w:color w:val="0B2545"/>
                <w:sz w:val="19"/>
              </w:rPr>
              <w:t>Driver ops / admin</w:t>
            </w:r>
          </w:p>
        </w:tc>
      </w:tr>
      <w:tr>
        <w:tc>
          <w:tcPr>
            <w:tcW w:type="dxa" w:w="2100"/>
            <w:shd w:fill="F2F4F7"/>
          </w:tcPr>
          <w:p>
            <w:pPr>
              <w:spacing w:before="0" w:after="0" w:line="276" w:lineRule="auto"/>
            </w:pPr>
            <w:r/>
            <w:r>
              <w:rPr>
                <w:rFonts w:ascii="Calibri" w:hAnsi="Calibri"/>
                <w:b/>
                <w:color w:val="1F4D78"/>
                <w:sz w:val="19"/>
              </w:rPr>
              <w:t>Public status</w:t>
            </w:r>
          </w:p>
        </w:tc>
        <w:tc>
          <w:tcPr>
            <w:tcW w:type="dxa" w:w="7260"/>
          </w:tcPr>
          <w:p>
            <w:pPr>
              <w:spacing w:before="0" w:after="0" w:line="276" w:lineRule="auto"/>
            </w:pPr>
            <w:r/>
            <w:r>
              <w:rPr>
                <w:rFonts w:ascii="Calibri" w:hAnsi="Calibri"/>
                <w:b w:val="0"/>
                <w:color w:val="0B2545"/>
                <w:sz w:val="19"/>
              </w:rPr>
              <w:t>Internal; customer sees proof through booking status where available.</w:t>
            </w:r>
          </w:p>
        </w:tc>
      </w:tr>
      <w:tr>
        <w:tc>
          <w:tcPr>
            <w:tcW w:type="dxa" w:w="2100"/>
            <w:shd w:fill="F2F4F7"/>
          </w:tcPr>
          <w:p>
            <w:pPr>
              <w:spacing w:before="0" w:after="0" w:line="276" w:lineRule="auto"/>
            </w:pPr>
            <w:r/>
            <w:r>
              <w:rPr>
                <w:rFonts w:ascii="Calibri" w:hAnsi="Calibri"/>
                <w:b/>
                <w:color w:val="1F4D78"/>
                <w:sz w:val="19"/>
              </w:rPr>
              <w:t>Launch rule</w:t>
            </w:r>
          </w:p>
        </w:tc>
        <w:tc>
          <w:tcPr>
            <w:tcW w:type="dxa" w:w="7260"/>
          </w:tcPr>
          <w:p>
            <w:pPr>
              <w:spacing w:before="0" w:after="0" w:line="276" w:lineRule="auto"/>
            </w:pPr>
            <w:r/>
            <w:r>
              <w:rPr>
                <w:rFonts w:ascii="Calibri" w:hAnsi="Calibri"/>
                <w:b w:val="0"/>
                <w:color w:val="0B2545"/>
                <w:sz w:val="19"/>
              </w:rPr>
              <w:t>Use this as the operating rule today; have counsel/vendor partners review before scaled rollout.</w:t>
            </w:r>
          </w:p>
        </w:tc>
      </w:tr>
    </w:tbl>
    <w:p>
      <w:pPr>
        <w:spacing w:after="160"/>
      </w:pPr>
    </w:p>
    <w:p>
      <w:pPr>
        <w:spacing w:before="0" w:after="120" w:line="300" w:lineRule="auto"/>
      </w:pPr>
      <w:r>
        <w:rPr>
          <w:rFonts w:ascii="Calibri" w:hAnsi="Calibri"/>
          <w:color w:val="0B2545"/>
          <w:sz w:val="22"/>
        </w:rPr>
        <w:t>Custody means Travelyt is responsible for the next verified movement of the bag. Every custody stage should leave proof: who acted, what bag, where, when, what condition, and what next handoff was approved.</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1900"/>
        <w:gridCol w:w="4750"/>
        <w:gridCol w:w="2710"/>
      </w:tblGrid>
      <w:tr>
        <w:tc>
          <w:tcPr>
            <w:tcW w:type="dxa" w:w="19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Stage</w:t>
            </w:r>
          </w:p>
        </w:tc>
        <w:tc>
          <w:tcPr>
            <w:tcW w:type="dxa" w:w="475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Required proof</w:t>
            </w:r>
          </w:p>
        </w:tc>
        <w:tc>
          <w:tcPr>
            <w:tcW w:type="dxa" w:w="271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Blocked if missing</w:t>
            </w:r>
          </w:p>
        </w:tc>
      </w:tr>
      <w:tr>
        <w:tc>
          <w:tcPr>
            <w:tcW w:type="dxa" w:w="1900"/>
          </w:tcPr>
          <w:p>
            <w:pPr>
              <w:spacing w:before="0" w:after="0" w:line="276" w:lineRule="auto"/>
            </w:pPr>
            <w:r/>
            <w:r>
              <w:rPr>
                <w:rFonts w:ascii="Calibri" w:hAnsi="Calibri"/>
                <w:b w:val="0"/>
                <w:color w:val="0B2545"/>
                <w:sz w:val="15"/>
              </w:rPr>
              <w:t>Before pickup</w:t>
            </w:r>
          </w:p>
        </w:tc>
        <w:tc>
          <w:tcPr>
            <w:tcW w:type="dxa" w:w="4750"/>
          </w:tcPr>
          <w:p>
            <w:pPr>
              <w:spacing w:before="0" w:after="0" w:line="276" w:lineRule="auto"/>
            </w:pPr>
            <w:r/>
            <w:r>
              <w:rPr>
                <w:rFonts w:ascii="Calibri" w:hAnsi="Calibri"/>
                <w:b w:val="0"/>
                <w:color w:val="0B2545"/>
                <w:sz w:val="15"/>
              </w:rPr>
              <w:t>Customer/traveler identity, service lane, bag count, restricted-item attestation, payment/confirmation status.</w:t>
            </w:r>
          </w:p>
        </w:tc>
        <w:tc>
          <w:tcPr>
            <w:tcW w:type="dxa" w:w="2710"/>
          </w:tcPr>
          <w:p>
            <w:pPr>
              <w:spacing w:before="0" w:after="0" w:line="276" w:lineRule="auto"/>
            </w:pPr>
            <w:r/>
            <w:r>
              <w:rPr>
                <w:rFonts w:ascii="Calibri" w:hAnsi="Calibri"/>
                <w:b w:val="0"/>
                <w:color w:val="0B2545"/>
                <w:sz w:val="15"/>
              </w:rPr>
              <w:t>Custody cannot begin.</w:t>
            </w:r>
          </w:p>
        </w:tc>
      </w:tr>
      <w:tr>
        <w:tc>
          <w:tcPr>
            <w:tcW w:type="dxa" w:w="1900"/>
          </w:tcPr>
          <w:p>
            <w:pPr>
              <w:spacing w:before="0" w:after="0" w:line="276" w:lineRule="auto"/>
            </w:pPr>
            <w:r/>
            <w:r>
              <w:rPr>
                <w:rFonts w:ascii="Calibri" w:hAnsi="Calibri"/>
                <w:b w:val="0"/>
                <w:color w:val="0B2545"/>
                <w:sz w:val="15"/>
              </w:rPr>
              <w:t>Route start</w:t>
            </w:r>
          </w:p>
        </w:tc>
        <w:tc>
          <w:tcPr>
            <w:tcW w:type="dxa" w:w="4750"/>
          </w:tcPr>
          <w:p>
            <w:pPr>
              <w:spacing w:before="0" w:after="0" w:line="276" w:lineRule="auto"/>
            </w:pPr>
            <w:r/>
            <w:r>
              <w:rPr>
                <w:rFonts w:ascii="Calibri" w:hAnsi="Calibri"/>
                <w:b w:val="0"/>
                <w:color w:val="0B2545"/>
                <w:sz w:val="15"/>
              </w:rPr>
              <w:t>Driver identity/session and GPS checkpoint.</w:t>
            </w:r>
          </w:p>
        </w:tc>
        <w:tc>
          <w:tcPr>
            <w:tcW w:type="dxa" w:w="2710"/>
          </w:tcPr>
          <w:p>
            <w:pPr>
              <w:spacing w:before="0" w:after="0" w:line="276" w:lineRule="auto"/>
            </w:pPr>
            <w:r/>
            <w:r>
              <w:rPr>
                <w:rFonts w:ascii="Calibri" w:hAnsi="Calibri"/>
                <w:b w:val="0"/>
                <w:color w:val="0B2545"/>
                <w:sz w:val="15"/>
              </w:rPr>
              <w:t>Driver cannot claim en route status.</w:t>
            </w:r>
          </w:p>
        </w:tc>
      </w:tr>
      <w:tr>
        <w:tc>
          <w:tcPr>
            <w:tcW w:type="dxa" w:w="1900"/>
          </w:tcPr>
          <w:p>
            <w:pPr>
              <w:spacing w:before="0" w:after="0" w:line="276" w:lineRule="auto"/>
            </w:pPr>
            <w:r/>
            <w:r>
              <w:rPr>
                <w:rFonts w:ascii="Calibri" w:hAnsi="Calibri"/>
                <w:b w:val="0"/>
                <w:color w:val="0B2545"/>
                <w:sz w:val="15"/>
              </w:rPr>
              <w:t>Arrival</w:t>
            </w:r>
          </w:p>
        </w:tc>
        <w:tc>
          <w:tcPr>
            <w:tcW w:type="dxa" w:w="4750"/>
          </w:tcPr>
          <w:p>
            <w:pPr>
              <w:spacing w:before="0" w:after="0" w:line="276" w:lineRule="auto"/>
            </w:pPr>
            <w:r/>
            <w:r>
              <w:rPr>
                <w:rFonts w:ascii="Calibri" w:hAnsi="Calibri"/>
                <w:b w:val="0"/>
                <w:color w:val="0B2545"/>
                <w:sz w:val="15"/>
              </w:rPr>
              <w:t>Arrival GPS checkpoint at custody location.</w:t>
            </w:r>
          </w:p>
        </w:tc>
        <w:tc>
          <w:tcPr>
            <w:tcW w:type="dxa" w:w="2710"/>
          </w:tcPr>
          <w:p>
            <w:pPr>
              <w:spacing w:before="0" w:after="0" w:line="276" w:lineRule="auto"/>
            </w:pPr>
            <w:r/>
            <w:r>
              <w:rPr>
                <w:rFonts w:ascii="Calibri" w:hAnsi="Calibri"/>
                <w:b w:val="0"/>
                <w:color w:val="0B2545"/>
                <w:sz w:val="15"/>
              </w:rPr>
              <w:t>Driver cannot jump to custody/proof.</w:t>
            </w:r>
          </w:p>
        </w:tc>
      </w:tr>
      <w:tr>
        <w:tc>
          <w:tcPr>
            <w:tcW w:type="dxa" w:w="1900"/>
          </w:tcPr>
          <w:p>
            <w:pPr>
              <w:spacing w:before="0" w:after="0" w:line="276" w:lineRule="auto"/>
            </w:pPr>
            <w:r/>
            <w:r>
              <w:rPr>
                <w:rFonts w:ascii="Calibri" w:hAnsi="Calibri"/>
                <w:b w:val="0"/>
                <w:color w:val="0B2545"/>
                <w:sz w:val="15"/>
              </w:rPr>
              <w:t>Pickup/seal</w:t>
            </w:r>
          </w:p>
        </w:tc>
        <w:tc>
          <w:tcPr>
            <w:tcW w:type="dxa" w:w="4750"/>
          </w:tcPr>
          <w:p>
            <w:pPr>
              <w:spacing w:before="0" w:after="0" w:line="276" w:lineRule="auto"/>
            </w:pPr>
            <w:r/>
            <w:r>
              <w:rPr>
                <w:rFonts w:ascii="Calibri" w:hAnsi="Calibri"/>
                <w:b w:val="0"/>
                <w:color w:val="0B2545"/>
                <w:sz w:val="15"/>
              </w:rPr>
              <w:t>Seal ID, bag photo, customer/authorized handoff confirmation, identity/bag review complete.</w:t>
            </w:r>
          </w:p>
        </w:tc>
        <w:tc>
          <w:tcPr>
            <w:tcW w:type="dxa" w:w="2710"/>
          </w:tcPr>
          <w:p>
            <w:pPr>
              <w:spacing w:before="0" w:after="0" w:line="276" w:lineRule="auto"/>
            </w:pPr>
            <w:r/>
            <w:r>
              <w:rPr>
                <w:rFonts w:ascii="Calibri" w:hAnsi="Calibri"/>
                <w:b w:val="0"/>
                <w:color w:val="0B2545"/>
                <w:sz w:val="15"/>
              </w:rPr>
              <w:t>Picked-up status blocked.</w:t>
            </w:r>
          </w:p>
        </w:tc>
      </w:tr>
      <w:tr>
        <w:tc>
          <w:tcPr>
            <w:tcW w:type="dxa" w:w="1900"/>
          </w:tcPr>
          <w:p>
            <w:pPr>
              <w:spacing w:before="0" w:after="0" w:line="276" w:lineRule="auto"/>
            </w:pPr>
            <w:r/>
            <w:r>
              <w:rPr>
                <w:rFonts w:ascii="Calibri" w:hAnsi="Calibri"/>
                <w:b w:val="0"/>
                <w:color w:val="0B2545"/>
                <w:sz w:val="15"/>
              </w:rPr>
              <w:t>Airline/airport handoff</w:t>
            </w:r>
          </w:p>
        </w:tc>
        <w:tc>
          <w:tcPr>
            <w:tcW w:type="dxa" w:w="4750"/>
          </w:tcPr>
          <w:p>
            <w:pPr>
              <w:spacing w:before="0" w:after="0" w:line="276" w:lineRule="auto"/>
            </w:pPr>
            <w:r/>
            <w:r>
              <w:rPr>
                <w:rFonts w:ascii="Calibri" w:hAnsi="Calibri"/>
                <w:b w:val="0"/>
                <w:color w:val="0B2545"/>
                <w:sz w:val="15"/>
              </w:rPr>
              <w:t>Receiving person/company, acceptance reference where allowed, seal status, photo, GPS/timestamp.</w:t>
            </w:r>
          </w:p>
        </w:tc>
        <w:tc>
          <w:tcPr>
            <w:tcW w:type="dxa" w:w="2710"/>
          </w:tcPr>
          <w:p>
            <w:pPr>
              <w:spacing w:before="0" w:after="0" w:line="276" w:lineRule="auto"/>
            </w:pPr>
            <w:r/>
            <w:r>
              <w:rPr>
                <w:rFonts w:ascii="Calibri" w:hAnsi="Calibri"/>
                <w:b w:val="0"/>
                <w:color w:val="0B2545"/>
                <w:sz w:val="15"/>
              </w:rPr>
              <w:t>Departure delivery/accepted-by-airline status blocked.</w:t>
            </w:r>
          </w:p>
        </w:tc>
      </w:tr>
      <w:tr>
        <w:tc>
          <w:tcPr>
            <w:tcW w:type="dxa" w:w="1900"/>
          </w:tcPr>
          <w:p>
            <w:pPr>
              <w:spacing w:before="0" w:after="0" w:line="276" w:lineRule="auto"/>
            </w:pPr>
            <w:r/>
            <w:r>
              <w:rPr>
                <w:rFonts w:ascii="Calibri" w:hAnsi="Calibri"/>
                <w:b w:val="0"/>
                <w:color w:val="0B2545"/>
                <w:sz w:val="15"/>
              </w:rPr>
              <w:t>Arrival release/delivery</w:t>
            </w:r>
          </w:p>
        </w:tc>
        <w:tc>
          <w:tcPr>
            <w:tcW w:type="dxa" w:w="4750"/>
          </w:tcPr>
          <w:p>
            <w:pPr>
              <w:spacing w:before="0" w:after="0" w:line="276" w:lineRule="auto"/>
            </w:pPr>
            <w:r/>
            <w:r>
              <w:rPr>
                <w:rFonts w:ascii="Calibri" w:hAnsi="Calibri"/>
                <w:b w:val="0"/>
                <w:color w:val="0B2545"/>
                <w:sz w:val="15"/>
              </w:rPr>
              <w:t>Release proof, recipient/customer confirmation, delivery photo, GPS/timestamp.</w:t>
            </w:r>
          </w:p>
        </w:tc>
        <w:tc>
          <w:tcPr>
            <w:tcW w:type="dxa" w:w="2710"/>
          </w:tcPr>
          <w:p>
            <w:pPr>
              <w:spacing w:before="0" w:after="0" w:line="276" w:lineRule="auto"/>
            </w:pPr>
            <w:r/>
            <w:r>
              <w:rPr>
                <w:rFonts w:ascii="Calibri" w:hAnsi="Calibri"/>
                <w:b w:val="0"/>
                <w:color w:val="0B2545"/>
                <w:sz w:val="15"/>
              </w:rPr>
              <w:t>Delivery closeout blocked.</w:t>
            </w:r>
          </w:p>
        </w:tc>
      </w:tr>
    </w:tbl>
    <w:p>
      <w:pPr>
        <w:spacing w:after="80"/>
      </w:pP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vAlign w:val="center"/>
            <w:tcMar>
              <w:top w:w="80" w:type="dxa"/>
              <w:bottom w:w="80" w:type="dxa"/>
              <w:start w:w="120" w:type="dxa"/>
              <w:end w:w="120" w:type="dxa"/>
            </w:tcMar>
            <w:shd w:fill="FFF7E6"/>
          </w:tcPr>
          <w:p>
            <w:pPr>
              <w:spacing w:before="0" w:after="40" w:line="283" w:lineRule="auto"/>
            </w:pPr>
            <w:r/>
            <w:r>
              <w:rPr>
                <w:rFonts w:ascii="Calibri" w:hAnsi="Calibri"/>
                <w:b/>
                <w:color w:val="7A5A00"/>
                <w:sz w:val="20"/>
              </w:rPr>
              <w:t xml:space="preserve">Privacy/safety limit: </w:t>
            </w:r>
            <w:r>
              <w:rPr>
                <w:rFonts w:ascii="Calibri" w:hAnsi="Calibri"/>
                <w:color w:val="0B2545"/>
                <w:sz w:val="20"/>
              </w:rPr>
              <w:t>Do not photograph private airline, airport, or employee IDs unless a written agreement allows it. Record name, company, badge/reference text, location, time, and proof image instead.</w:t>
            </w:r>
          </w:p>
        </w:tc>
      </w:tr>
    </w:tbl>
    <w:p>
      <w:pPr>
        <w:spacing w:after="40"/>
      </w:pPr>
    </w:p>
    <w:p>
      <w:r>
        <w:br w:type="page"/>
      </w:r>
    </w:p>
    <w:p>
      <w:pPr>
        <w:pStyle w:val="Heading1"/>
        <w:keepNext/>
      </w:pPr>
      <w:r>
        <w:t>11. Incident And Exception Policy</w:t>
      </w: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100"/>
        <w:gridCol w:w="7260"/>
      </w:tblGrid>
      <w:tr>
        <w:tc>
          <w:tcPr>
            <w:tcW w:type="dxa" w:w="2100"/>
            <w:shd w:fill="F2F4F7"/>
          </w:tcPr>
          <w:p>
            <w:pPr>
              <w:spacing w:before="0" w:after="0" w:line="276" w:lineRule="auto"/>
            </w:pPr>
            <w:r/>
            <w:r>
              <w:rPr>
                <w:rFonts w:ascii="Calibri" w:hAnsi="Calibri"/>
                <w:b/>
                <w:color w:val="1F4D78"/>
                <w:sz w:val="19"/>
              </w:rPr>
              <w:t>Owner</w:t>
            </w:r>
          </w:p>
        </w:tc>
        <w:tc>
          <w:tcPr>
            <w:tcW w:type="dxa" w:w="7260"/>
          </w:tcPr>
          <w:p>
            <w:pPr>
              <w:spacing w:before="0" w:after="0" w:line="276" w:lineRule="auto"/>
            </w:pPr>
            <w:r/>
            <w:r>
              <w:rPr>
                <w:rFonts w:ascii="Calibri" w:hAnsi="Calibri"/>
                <w:b w:val="0"/>
                <w:color w:val="0B2545"/>
                <w:sz w:val="19"/>
              </w:rPr>
              <w:t>Admin / support</w:t>
            </w:r>
          </w:p>
        </w:tc>
      </w:tr>
      <w:tr>
        <w:tc>
          <w:tcPr>
            <w:tcW w:type="dxa" w:w="2100"/>
            <w:shd w:fill="F2F4F7"/>
          </w:tcPr>
          <w:p>
            <w:pPr>
              <w:spacing w:before="0" w:after="0" w:line="276" w:lineRule="auto"/>
            </w:pPr>
            <w:r/>
            <w:r>
              <w:rPr>
                <w:rFonts w:ascii="Calibri" w:hAnsi="Calibri"/>
                <w:b/>
                <w:color w:val="1F4D78"/>
                <w:sz w:val="19"/>
              </w:rPr>
              <w:t>Public status</w:t>
            </w:r>
          </w:p>
        </w:tc>
        <w:tc>
          <w:tcPr>
            <w:tcW w:type="dxa" w:w="7260"/>
          </w:tcPr>
          <w:p>
            <w:pPr>
              <w:spacing w:before="0" w:after="0" w:line="276" w:lineRule="auto"/>
            </w:pPr>
            <w:r/>
            <w:r>
              <w:rPr>
                <w:rFonts w:ascii="Calibri" w:hAnsi="Calibri"/>
                <w:b w:val="0"/>
                <w:color w:val="0B2545"/>
                <w:sz w:val="19"/>
              </w:rPr>
              <w:t>Internal; customer notices are handled through support.</w:t>
            </w:r>
          </w:p>
        </w:tc>
      </w:tr>
      <w:tr>
        <w:tc>
          <w:tcPr>
            <w:tcW w:type="dxa" w:w="2100"/>
            <w:shd w:fill="F2F4F7"/>
          </w:tcPr>
          <w:p>
            <w:pPr>
              <w:spacing w:before="0" w:after="0" w:line="276" w:lineRule="auto"/>
            </w:pPr>
            <w:r/>
            <w:r>
              <w:rPr>
                <w:rFonts w:ascii="Calibri" w:hAnsi="Calibri"/>
                <w:b/>
                <w:color w:val="1F4D78"/>
                <w:sz w:val="19"/>
              </w:rPr>
              <w:t>Launch rule</w:t>
            </w:r>
          </w:p>
        </w:tc>
        <w:tc>
          <w:tcPr>
            <w:tcW w:type="dxa" w:w="7260"/>
          </w:tcPr>
          <w:p>
            <w:pPr>
              <w:spacing w:before="0" w:after="0" w:line="276" w:lineRule="auto"/>
            </w:pPr>
            <w:r/>
            <w:r>
              <w:rPr>
                <w:rFonts w:ascii="Calibri" w:hAnsi="Calibri"/>
                <w:b w:val="0"/>
                <w:color w:val="0B2545"/>
                <w:sz w:val="19"/>
              </w:rPr>
              <w:t>Use this as the operating rule today; have counsel/vendor partners review before scaled rollout.</w:t>
            </w:r>
          </w:p>
        </w:tc>
      </w:tr>
    </w:tbl>
    <w:p>
      <w:pPr>
        <w:spacing w:after="160"/>
      </w:pPr>
    </w:p>
    <w:p>
      <w:pPr>
        <w:spacing w:before="0" w:after="120" w:line="300" w:lineRule="auto"/>
      </w:pPr>
      <w:r>
        <w:rPr>
          <w:rFonts w:ascii="Calibri" w:hAnsi="Calibri"/>
          <w:color w:val="0B2545"/>
          <w:sz w:val="22"/>
        </w:rPr>
        <w:t>An incident is any event where the normal service promise, custody proof, safety rule, privacy rule, payment/refund expectation, or credential control is broken or uncertain. Do not hide incidents in chat; log them.</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200"/>
        <w:gridCol w:w="4250"/>
        <w:gridCol w:w="2910"/>
      </w:tblGrid>
      <w:tr>
        <w:tc>
          <w:tcPr>
            <w:tcW w:type="dxa" w:w="22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Incident type</w:t>
            </w:r>
          </w:p>
        </w:tc>
        <w:tc>
          <w:tcPr>
            <w:tcW w:type="dxa" w:w="425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Immediate action</w:t>
            </w:r>
          </w:p>
        </w:tc>
        <w:tc>
          <w:tcPr>
            <w:tcW w:type="dxa" w:w="291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Closeout condition</w:t>
            </w:r>
          </w:p>
        </w:tc>
      </w:tr>
      <w:tr>
        <w:tc>
          <w:tcPr>
            <w:tcW w:type="dxa" w:w="2200"/>
          </w:tcPr>
          <w:p>
            <w:pPr>
              <w:spacing w:before="0" w:after="0" w:line="276" w:lineRule="auto"/>
            </w:pPr>
            <w:r/>
            <w:r>
              <w:rPr>
                <w:rFonts w:ascii="Calibri" w:hAnsi="Calibri"/>
                <w:b w:val="0"/>
                <w:color w:val="0B2545"/>
                <w:sz w:val="15"/>
              </w:rPr>
              <w:t>Missed pickup / route delay</w:t>
            </w:r>
          </w:p>
        </w:tc>
        <w:tc>
          <w:tcPr>
            <w:tcW w:type="dxa" w:w="4250"/>
          </w:tcPr>
          <w:p>
            <w:pPr>
              <w:spacing w:before="0" w:after="0" w:line="276" w:lineRule="auto"/>
            </w:pPr>
            <w:r/>
            <w:r>
              <w:rPr>
                <w:rFonts w:ascii="Calibri" w:hAnsi="Calibri"/>
                <w:b w:val="0"/>
                <w:color w:val="0B2545"/>
                <w:sz w:val="15"/>
              </w:rPr>
              <w:t>Notify customer, mark issue if needed, document driver/location/status.</w:t>
            </w:r>
          </w:p>
        </w:tc>
        <w:tc>
          <w:tcPr>
            <w:tcW w:type="dxa" w:w="2910"/>
          </w:tcPr>
          <w:p>
            <w:pPr>
              <w:spacing w:before="0" w:after="0" w:line="276" w:lineRule="auto"/>
            </w:pPr>
            <w:r/>
            <w:r>
              <w:rPr>
                <w:rFonts w:ascii="Calibri" w:hAnsi="Calibri"/>
                <w:b w:val="0"/>
                <w:color w:val="0B2545"/>
                <w:sz w:val="15"/>
              </w:rPr>
              <w:t>New ETA, reschedule, refund, or cancellation decision is recorded.</w:t>
            </w:r>
          </w:p>
        </w:tc>
      </w:tr>
      <w:tr>
        <w:tc>
          <w:tcPr>
            <w:tcW w:type="dxa" w:w="2200"/>
          </w:tcPr>
          <w:p>
            <w:pPr>
              <w:spacing w:before="0" w:after="0" w:line="276" w:lineRule="auto"/>
            </w:pPr>
            <w:r/>
            <w:r>
              <w:rPr>
                <w:rFonts w:ascii="Calibri" w:hAnsi="Calibri"/>
                <w:b w:val="0"/>
                <w:color w:val="0B2545"/>
                <w:sz w:val="15"/>
              </w:rPr>
              <w:t>Prohibited item concern</w:t>
            </w:r>
          </w:p>
        </w:tc>
        <w:tc>
          <w:tcPr>
            <w:tcW w:type="dxa" w:w="4250"/>
          </w:tcPr>
          <w:p>
            <w:pPr>
              <w:spacing w:before="0" w:after="0" w:line="276" w:lineRule="auto"/>
            </w:pPr>
            <w:r/>
            <w:r>
              <w:rPr>
                <w:rFonts w:ascii="Calibri" w:hAnsi="Calibri"/>
                <w:b w:val="0"/>
                <w:color w:val="0B2545"/>
                <w:sz w:val="15"/>
              </w:rPr>
              <w:t>Pause custody or refuse pickup; escalate to admin; involve authorities only when required.</w:t>
            </w:r>
          </w:p>
        </w:tc>
        <w:tc>
          <w:tcPr>
            <w:tcW w:type="dxa" w:w="2910"/>
          </w:tcPr>
          <w:p>
            <w:pPr>
              <w:spacing w:before="0" w:after="0" w:line="276" w:lineRule="auto"/>
            </w:pPr>
            <w:r/>
            <w:r>
              <w:rPr>
                <w:rFonts w:ascii="Calibri" w:hAnsi="Calibri"/>
                <w:b w:val="0"/>
                <w:color w:val="0B2545"/>
                <w:sz w:val="15"/>
              </w:rPr>
              <w:t>Bag returned/refused/cleared with written reason.</w:t>
            </w:r>
          </w:p>
        </w:tc>
      </w:tr>
      <w:tr>
        <w:tc>
          <w:tcPr>
            <w:tcW w:type="dxa" w:w="2200"/>
          </w:tcPr>
          <w:p>
            <w:pPr>
              <w:spacing w:before="0" w:after="0" w:line="276" w:lineRule="auto"/>
            </w:pPr>
            <w:r/>
            <w:r>
              <w:rPr>
                <w:rFonts w:ascii="Calibri" w:hAnsi="Calibri"/>
                <w:b w:val="0"/>
                <w:color w:val="0B2545"/>
                <w:sz w:val="15"/>
              </w:rPr>
              <w:t>Damage / lost / seal issue</w:t>
            </w:r>
          </w:p>
        </w:tc>
        <w:tc>
          <w:tcPr>
            <w:tcW w:type="dxa" w:w="4250"/>
          </w:tcPr>
          <w:p>
            <w:pPr>
              <w:spacing w:before="0" w:after="0" w:line="276" w:lineRule="auto"/>
            </w:pPr>
            <w:r/>
            <w:r>
              <w:rPr>
                <w:rFonts w:ascii="Calibri" w:hAnsi="Calibri"/>
                <w:b w:val="0"/>
                <w:color w:val="0B2545"/>
                <w:sz w:val="15"/>
              </w:rPr>
              <w:t>Preserve proof, photos, chain-of-custody, seal, receipts, and customer statement.</w:t>
            </w:r>
          </w:p>
        </w:tc>
        <w:tc>
          <w:tcPr>
            <w:tcW w:type="dxa" w:w="2910"/>
          </w:tcPr>
          <w:p>
            <w:pPr>
              <w:spacing w:before="0" w:after="0" w:line="276" w:lineRule="auto"/>
            </w:pPr>
            <w:r/>
            <w:r>
              <w:rPr>
                <w:rFonts w:ascii="Calibri" w:hAnsi="Calibri"/>
                <w:b w:val="0"/>
                <w:color w:val="0B2545"/>
                <w:sz w:val="15"/>
              </w:rPr>
              <w:t>Claim accepted/denied/resolved with evidence and payment/refund record.</w:t>
            </w:r>
          </w:p>
        </w:tc>
      </w:tr>
      <w:tr>
        <w:tc>
          <w:tcPr>
            <w:tcW w:type="dxa" w:w="2200"/>
          </w:tcPr>
          <w:p>
            <w:pPr>
              <w:spacing w:before="0" w:after="0" w:line="276" w:lineRule="auto"/>
            </w:pPr>
            <w:r/>
            <w:r>
              <w:rPr>
                <w:rFonts w:ascii="Calibri" w:hAnsi="Calibri"/>
                <w:b w:val="0"/>
                <w:color w:val="0B2545"/>
                <w:sz w:val="15"/>
              </w:rPr>
              <w:t>Wrong driver / stale code</w:t>
            </w:r>
          </w:p>
        </w:tc>
        <w:tc>
          <w:tcPr>
            <w:tcW w:type="dxa" w:w="4250"/>
          </w:tcPr>
          <w:p>
            <w:pPr>
              <w:spacing w:before="0" w:after="0" w:line="276" w:lineRule="auto"/>
            </w:pPr>
            <w:r/>
            <w:r>
              <w:rPr>
                <w:rFonts w:ascii="Calibri" w:hAnsi="Calibri"/>
                <w:b w:val="0"/>
                <w:color w:val="0B2545"/>
                <w:sz w:val="15"/>
              </w:rPr>
              <w:t>Revoke code, block session if possible, reassign job, log security/control event.</w:t>
            </w:r>
          </w:p>
        </w:tc>
        <w:tc>
          <w:tcPr>
            <w:tcW w:type="dxa" w:w="2910"/>
          </w:tcPr>
          <w:p>
            <w:pPr>
              <w:spacing w:before="0" w:after="0" w:line="276" w:lineRule="auto"/>
            </w:pPr>
            <w:r/>
            <w:r>
              <w:rPr>
                <w:rFonts w:ascii="Calibri" w:hAnsi="Calibri"/>
                <w:b w:val="0"/>
                <w:color w:val="0B2545"/>
                <w:sz w:val="15"/>
              </w:rPr>
              <w:t>New code or driver assignment is verified and stale artifact archived.</w:t>
            </w:r>
          </w:p>
        </w:tc>
      </w:tr>
      <w:tr>
        <w:tc>
          <w:tcPr>
            <w:tcW w:type="dxa" w:w="2200"/>
          </w:tcPr>
          <w:p>
            <w:pPr>
              <w:spacing w:before="0" w:after="0" w:line="276" w:lineRule="auto"/>
            </w:pPr>
            <w:r/>
            <w:r>
              <w:rPr>
                <w:rFonts w:ascii="Calibri" w:hAnsi="Calibri"/>
                <w:b w:val="0"/>
                <w:color w:val="0B2545"/>
                <w:sz w:val="15"/>
              </w:rPr>
              <w:t>Privacy/security event</w:t>
            </w:r>
          </w:p>
        </w:tc>
        <w:tc>
          <w:tcPr>
            <w:tcW w:type="dxa" w:w="4250"/>
          </w:tcPr>
          <w:p>
            <w:pPr>
              <w:spacing w:before="0" w:after="0" w:line="276" w:lineRule="auto"/>
            </w:pPr>
            <w:r/>
            <w:r>
              <w:rPr>
                <w:rFonts w:ascii="Calibri" w:hAnsi="Calibri"/>
                <w:b w:val="0"/>
                <w:color w:val="0B2545"/>
                <w:sz w:val="15"/>
              </w:rPr>
              <w:t>Stop exposure, preserve logs, identify affected records, notify leadership.</w:t>
            </w:r>
          </w:p>
        </w:tc>
        <w:tc>
          <w:tcPr>
            <w:tcW w:type="dxa" w:w="2910"/>
          </w:tcPr>
          <w:p>
            <w:pPr>
              <w:spacing w:before="0" w:after="0" w:line="276" w:lineRule="auto"/>
            </w:pPr>
            <w:r/>
            <w:r>
              <w:rPr>
                <w:rFonts w:ascii="Calibri" w:hAnsi="Calibri"/>
                <w:b w:val="0"/>
                <w:color w:val="0B2545"/>
                <w:sz w:val="15"/>
              </w:rPr>
              <w:t>Counsel/notification assessment complete and remedial action logged.</w:t>
            </w:r>
          </w:p>
        </w:tc>
      </w:tr>
      <w:tr>
        <w:tc>
          <w:tcPr>
            <w:tcW w:type="dxa" w:w="2200"/>
          </w:tcPr>
          <w:p>
            <w:pPr>
              <w:spacing w:before="0" w:after="0" w:line="276" w:lineRule="auto"/>
            </w:pPr>
            <w:r/>
            <w:r>
              <w:rPr>
                <w:rFonts w:ascii="Calibri" w:hAnsi="Calibri"/>
                <w:b w:val="0"/>
                <w:color w:val="0B2545"/>
                <w:sz w:val="15"/>
              </w:rPr>
              <w:t>System/payment failure</w:t>
            </w:r>
          </w:p>
        </w:tc>
        <w:tc>
          <w:tcPr>
            <w:tcW w:type="dxa" w:w="4250"/>
          </w:tcPr>
          <w:p>
            <w:pPr>
              <w:spacing w:before="0" w:after="0" w:line="276" w:lineRule="auto"/>
            </w:pPr>
            <w:r/>
            <w:r>
              <w:rPr>
                <w:rFonts w:ascii="Calibri" w:hAnsi="Calibri"/>
                <w:b w:val="0"/>
                <w:color w:val="0B2545"/>
                <w:sz w:val="15"/>
              </w:rPr>
              <w:t>Keep booking pending/issue; do not tell customer paid/confirmed unless payment and record both succeeded.</w:t>
            </w:r>
          </w:p>
        </w:tc>
        <w:tc>
          <w:tcPr>
            <w:tcW w:type="dxa" w:w="2910"/>
          </w:tcPr>
          <w:p>
            <w:pPr>
              <w:spacing w:before="0" w:after="0" w:line="276" w:lineRule="auto"/>
            </w:pPr>
            <w:r/>
            <w:r>
              <w:rPr>
                <w:rFonts w:ascii="Calibri" w:hAnsi="Calibri"/>
                <w:b w:val="0"/>
                <w:color w:val="0B2545"/>
                <w:sz w:val="15"/>
              </w:rPr>
              <w:t>Recovery or refund path is documented.</w:t>
            </w:r>
          </w:p>
        </w:tc>
      </w:tr>
    </w:tbl>
    <w:p>
      <w:pPr>
        <w:spacing w:after="80"/>
      </w:pPr>
    </w:p>
    <w:p>
      <w:r>
        <w:br w:type="page"/>
      </w:r>
    </w:p>
    <w:p>
      <w:pPr>
        <w:pStyle w:val="Heading1"/>
        <w:keepNext/>
      </w:pPr>
      <w:r>
        <w:t>12. Records Retention And Cleanup Policy</w:t>
      </w: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100"/>
        <w:gridCol w:w="7260"/>
      </w:tblGrid>
      <w:tr>
        <w:tc>
          <w:tcPr>
            <w:tcW w:type="dxa" w:w="2100"/>
            <w:shd w:fill="F2F4F7"/>
          </w:tcPr>
          <w:p>
            <w:pPr>
              <w:spacing w:before="0" w:after="0" w:line="276" w:lineRule="auto"/>
            </w:pPr>
            <w:r/>
            <w:r>
              <w:rPr>
                <w:rFonts w:ascii="Calibri" w:hAnsi="Calibri"/>
                <w:b/>
                <w:color w:val="1F4D78"/>
                <w:sz w:val="19"/>
              </w:rPr>
              <w:t>Owner</w:t>
            </w:r>
          </w:p>
        </w:tc>
        <w:tc>
          <w:tcPr>
            <w:tcW w:type="dxa" w:w="7260"/>
          </w:tcPr>
          <w:p>
            <w:pPr>
              <w:spacing w:before="0" w:after="0" w:line="276" w:lineRule="auto"/>
            </w:pPr>
            <w:r/>
            <w:r>
              <w:rPr>
                <w:rFonts w:ascii="Calibri" w:hAnsi="Calibri"/>
                <w:b w:val="0"/>
                <w:color w:val="0B2545"/>
                <w:sz w:val="19"/>
              </w:rPr>
              <w:t>Admin / privacy / finance</w:t>
            </w:r>
          </w:p>
        </w:tc>
      </w:tr>
      <w:tr>
        <w:tc>
          <w:tcPr>
            <w:tcW w:type="dxa" w:w="2100"/>
            <w:shd w:fill="F2F4F7"/>
          </w:tcPr>
          <w:p>
            <w:pPr>
              <w:spacing w:before="0" w:after="0" w:line="276" w:lineRule="auto"/>
            </w:pPr>
            <w:r/>
            <w:r>
              <w:rPr>
                <w:rFonts w:ascii="Calibri" w:hAnsi="Calibri"/>
                <w:b/>
                <w:color w:val="1F4D78"/>
                <w:sz w:val="19"/>
              </w:rPr>
              <w:t>Public status</w:t>
            </w:r>
          </w:p>
        </w:tc>
        <w:tc>
          <w:tcPr>
            <w:tcW w:type="dxa" w:w="7260"/>
          </w:tcPr>
          <w:p>
            <w:pPr>
              <w:spacing w:before="0" w:after="0" w:line="276" w:lineRule="auto"/>
            </w:pPr>
            <w:r/>
            <w:r>
              <w:rPr>
                <w:rFonts w:ascii="Calibri" w:hAnsi="Calibri"/>
                <w:b w:val="0"/>
                <w:color w:val="0B2545"/>
                <w:sz w:val="19"/>
              </w:rPr>
              <w:t>Public partly through /privacy.</w:t>
            </w:r>
          </w:p>
        </w:tc>
      </w:tr>
      <w:tr>
        <w:tc>
          <w:tcPr>
            <w:tcW w:type="dxa" w:w="2100"/>
            <w:shd w:fill="F2F4F7"/>
          </w:tcPr>
          <w:p>
            <w:pPr>
              <w:spacing w:before="0" w:after="0" w:line="276" w:lineRule="auto"/>
            </w:pPr>
            <w:r/>
            <w:r>
              <w:rPr>
                <w:rFonts w:ascii="Calibri" w:hAnsi="Calibri"/>
                <w:b/>
                <w:color w:val="1F4D78"/>
                <w:sz w:val="19"/>
              </w:rPr>
              <w:t>Launch rule</w:t>
            </w:r>
          </w:p>
        </w:tc>
        <w:tc>
          <w:tcPr>
            <w:tcW w:type="dxa" w:w="7260"/>
          </w:tcPr>
          <w:p>
            <w:pPr>
              <w:spacing w:before="0" w:after="0" w:line="276" w:lineRule="auto"/>
            </w:pPr>
            <w:r/>
            <w:r>
              <w:rPr>
                <w:rFonts w:ascii="Calibri" w:hAnsi="Calibri"/>
                <w:b w:val="0"/>
                <w:color w:val="0B2545"/>
                <w:sz w:val="19"/>
              </w:rPr>
              <w:t>Use this as the operating rule today; have counsel/vendor partners review before scaled rollout.</w:t>
            </w:r>
          </w:p>
        </w:tc>
      </w:tr>
    </w:tbl>
    <w:p>
      <w:pPr>
        <w:spacing w:after="160"/>
      </w:pPr>
    </w:p>
    <w:p>
      <w:pPr>
        <w:spacing w:before="0" w:after="120" w:line="300" w:lineRule="auto"/>
      </w:pPr>
      <w:r>
        <w:rPr>
          <w:rFonts w:ascii="Calibri" w:hAnsi="Calibri"/>
          <w:color w:val="0B2545"/>
          <w:sz w:val="22"/>
        </w:rPr>
        <w:t>Retention should be long enough to support service, claims, taxes, accounting, disputes, fraud prevention, and safety, but not so long that stale test data pollutes live operations.</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450"/>
        <w:gridCol w:w="3350"/>
        <w:gridCol w:w="3560"/>
      </w:tblGrid>
      <w:tr>
        <w:tc>
          <w:tcPr>
            <w:tcW w:type="dxa" w:w="245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Record</w:t>
            </w:r>
          </w:p>
        </w:tc>
        <w:tc>
          <w:tcPr>
            <w:tcW w:type="dxa" w:w="335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Default retention</w:t>
            </w:r>
          </w:p>
        </w:tc>
        <w:tc>
          <w:tcPr>
            <w:tcW w:type="dxa" w:w="356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Cleanup rule</w:t>
            </w:r>
          </w:p>
        </w:tc>
      </w:tr>
      <w:tr>
        <w:tc>
          <w:tcPr>
            <w:tcW w:type="dxa" w:w="2450"/>
          </w:tcPr>
          <w:p>
            <w:pPr>
              <w:spacing w:before="0" w:after="0" w:line="276" w:lineRule="auto"/>
            </w:pPr>
            <w:r/>
            <w:r>
              <w:rPr>
                <w:rFonts w:ascii="Calibri" w:hAnsi="Calibri"/>
                <w:b w:val="0"/>
                <w:color w:val="0B2545"/>
                <w:sz w:val="16"/>
              </w:rPr>
              <w:t>Quote/request records</w:t>
            </w:r>
          </w:p>
        </w:tc>
        <w:tc>
          <w:tcPr>
            <w:tcW w:type="dxa" w:w="3350"/>
          </w:tcPr>
          <w:p>
            <w:pPr>
              <w:spacing w:before="0" w:after="0" w:line="276" w:lineRule="auto"/>
            </w:pPr>
            <w:r/>
            <w:r>
              <w:rPr>
                <w:rFonts w:ascii="Calibri" w:hAnsi="Calibri"/>
                <w:b w:val="0"/>
                <w:color w:val="0B2545"/>
                <w:sz w:val="16"/>
              </w:rPr>
              <w:t>Up to 24 months unless converted to booking or needed for dispute/fraud.</w:t>
            </w:r>
          </w:p>
        </w:tc>
        <w:tc>
          <w:tcPr>
            <w:tcW w:type="dxa" w:w="3560"/>
          </w:tcPr>
          <w:p>
            <w:pPr>
              <w:spacing w:before="0" w:after="0" w:line="276" w:lineRule="auto"/>
            </w:pPr>
            <w:r/>
            <w:r>
              <w:rPr>
                <w:rFonts w:ascii="Calibri" w:hAnsi="Calibri"/>
                <w:b w:val="0"/>
                <w:color w:val="0B2545"/>
                <w:sz w:val="16"/>
              </w:rPr>
              <w:t>Delete or anonymize stale unconverted leads when no longer useful.</w:t>
            </w:r>
          </w:p>
        </w:tc>
      </w:tr>
      <w:tr>
        <w:tc>
          <w:tcPr>
            <w:tcW w:type="dxa" w:w="2450"/>
          </w:tcPr>
          <w:p>
            <w:pPr>
              <w:spacing w:before="0" w:after="0" w:line="276" w:lineRule="auto"/>
            </w:pPr>
            <w:r/>
            <w:r>
              <w:rPr>
                <w:rFonts w:ascii="Calibri" w:hAnsi="Calibri"/>
                <w:b w:val="0"/>
                <w:color w:val="0B2545"/>
                <w:sz w:val="16"/>
              </w:rPr>
              <w:t>Completed booking/custody logs</w:t>
            </w:r>
          </w:p>
        </w:tc>
        <w:tc>
          <w:tcPr>
            <w:tcW w:type="dxa" w:w="3350"/>
          </w:tcPr>
          <w:p>
            <w:pPr>
              <w:spacing w:before="0" w:after="0" w:line="276" w:lineRule="auto"/>
            </w:pPr>
            <w:r/>
            <w:r>
              <w:rPr>
                <w:rFonts w:ascii="Calibri" w:hAnsi="Calibri"/>
                <w:b w:val="0"/>
                <w:color w:val="0B2545"/>
                <w:sz w:val="16"/>
              </w:rPr>
              <w:t>Typically 3 years unless claim/legal/insurance need is longer.</w:t>
            </w:r>
          </w:p>
        </w:tc>
        <w:tc>
          <w:tcPr>
            <w:tcW w:type="dxa" w:w="3560"/>
          </w:tcPr>
          <w:p>
            <w:pPr>
              <w:spacing w:before="0" w:after="0" w:line="276" w:lineRule="auto"/>
            </w:pPr>
            <w:r/>
            <w:r>
              <w:rPr>
                <w:rFonts w:ascii="Calibri" w:hAnsi="Calibri"/>
                <w:b w:val="0"/>
                <w:color w:val="0B2545"/>
                <w:sz w:val="16"/>
              </w:rPr>
              <w:t>Retain proof history, status history, and incident references.</w:t>
            </w:r>
          </w:p>
        </w:tc>
      </w:tr>
      <w:tr>
        <w:tc>
          <w:tcPr>
            <w:tcW w:type="dxa" w:w="2450"/>
          </w:tcPr>
          <w:p>
            <w:pPr>
              <w:spacing w:before="0" w:after="0" w:line="276" w:lineRule="auto"/>
            </w:pPr>
            <w:r/>
            <w:r>
              <w:rPr>
                <w:rFonts w:ascii="Calibri" w:hAnsi="Calibri"/>
                <w:b w:val="0"/>
                <w:color w:val="0B2545"/>
                <w:sz w:val="16"/>
              </w:rPr>
              <w:t>Payment/accounting records</w:t>
            </w:r>
          </w:p>
        </w:tc>
        <w:tc>
          <w:tcPr>
            <w:tcW w:type="dxa" w:w="3350"/>
          </w:tcPr>
          <w:p>
            <w:pPr>
              <w:spacing w:before="0" w:after="0" w:line="276" w:lineRule="auto"/>
            </w:pPr>
            <w:r/>
            <w:r>
              <w:rPr>
                <w:rFonts w:ascii="Calibri" w:hAnsi="Calibri"/>
                <w:b w:val="0"/>
                <w:color w:val="0B2545"/>
                <w:sz w:val="16"/>
              </w:rPr>
              <w:t>Up to 7 years or as required for taxes/accounting/payment disputes.</w:t>
            </w:r>
          </w:p>
        </w:tc>
        <w:tc>
          <w:tcPr>
            <w:tcW w:type="dxa" w:w="3560"/>
          </w:tcPr>
          <w:p>
            <w:pPr>
              <w:spacing w:before="0" w:after="0" w:line="276" w:lineRule="auto"/>
            </w:pPr>
            <w:r/>
            <w:r>
              <w:rPr>
                <w:rFonts w:ascii="Calibri" w:hAnsi="Calibri"/>
                <w:b w:val="0"/>
                <w:color w:val="0B2545"/>
                <w:sz w:val="16"/>
              </w:rPr>
              <w:t>Never store full card numbers or CVV.</w:t>
            </w:r>
          </w:p>
        </w:tc>
      </w:tr>
      <w:tr>
        <w:tc>
          <w:tcPr>
            <w:tcW w:type="dxa" w:w="2450"/>
          </w:tcPr>
          <w:p>
            <w:pPr>
              <w:spacing w:before="0" w:after="0" w:line="276" w:lineRule="auto"/>
            </w:pPr>
            <w:r/>
            <w:r>
              <w:rPr>
                <w:rFonts w:ascii="Calibri" w:hAnsi="Calibri"/>
                <w:b w:val="0"/>
                <w:color w:val="0B2545"/>
                <w:sz w:val="16"/>
              </w:rPr>
              <w:t>Driver applications/background references</w:t>
            </w:r>
          </w:p>
        </w:tc>
        <w:tc>
          <w:tcPr>
            <w:tcW w:type="dxa" w:w="3350"/>
          </w:tcPr>
          <w:p>
            <w:pPr>
              <w:spacing w:before="0" w:after="0" w:line="276" w:lineRule="auto"/>
            </w:pPr>
            <w:r/>
            <w:r>
              <w:rPr>
                <w:rFonts w:ascii="Calibri" w:hAnsi="Calibri"/>
                <w:b w:val="0"/>
                <w:color w:val="0B2545"/>
                <w:sz w:val="16"/>
              </w:rPr>
              <w:t>Retain only as needed for screening, legal, safety, and vendor obligations.</w:t>
            </w:r>
          </w:p>
        </w:tc>
        <w:tc>
          <w:tcPr>
            <w:tcW w:type="dxa" w:w="3560"/>
          </w:tcPr>
          <w:p>
            <w:pPr>
              <w:spacing w:before="0" w:after="0" w:line="276" w:lineRule="auto"/>
            </w:pPr>
            <w:r/>
            <w:r>
              <w:rPr>
                <w:rFonts w:ascii="Calibri" w:hAnsi="Calibri"/>
                <w:b w:val="0"/>
                <w:color w:val="0B2545"/>
                <w:sz w:val="16"/>
              </w:rPr>
              <w:t>Do not leave unapproved applicants with active access codes.</w:t>
            </w:r>
          </w:p>
        </w:tc>
      </w:tr>
      <w:tr>
        <w:tc>
          <w:tcPr>
            <w:tcW w:type="dxa" w:w="2450"/>
          </w:tcPr>
          <w:p>
            <w:pPr>
              <w:spacing w:before="0" w:after="0" w:line="276" w:lineRule="auto"/>
            </w:pPr>
            <w:r/>
            <w:r>
              <w:rPr>
                <w:rFonts w:ascii="Calibri" w:hAnsi="Calibri"/>
                <w:b w:val="0"/>
                <w:color w:val="0B2545"/>
                <w:sz w:val="16"/>
              </w:rPr>
              <w:t>Test data</w:t>
            </w:r>
          </w:p>
        </w:tc>
        <w:tc>
          <w:tcPr>
            <w:tcW w:type="dxa" w:w="3350"/>
          </w:tcPr>
          <w:p>
            <w:pPr>
              <w:spacing w:before="0" w:after="0" w:line="276" w:lineRule="auto"/>
            </w:pPr>
            <w:r/>
            <w:r>
              <w:rPr>
                <w:rFonts w:ascii="Calibri" w:hAnsi="Calibri"/>
                <w:b w:val="0"/>
                <w:color w:val="0B2545"/>
                <w:sz w:val="16"/>
              </w:rPr>
              <w:t>Shortest practical period.</w:t>
            </w:r>
          </w:p>
        </w:tc>
        <w:tc>
          <w:tcPr>
            <w:tcW w:type="dxa" w:w="3560"/>
          </w:tcPr>
          <w:p>
            <w:pPr>
              <w:spacing w:before="0" w:after="0" w:line="276" w:lineRule="auto"/>
            </w:pPr>
            <w:r/>
            <w:r>
              <w:rPr>
                <w:rFonts w:ascii="Calibri" w:hAnsi="Calibri"/>
                <w:b w:val="0"/>
                <w:color w:val="0B2545"/>
                <w:sz w:val="16"/>
              </w:rPr>
              <w:t>Archive, revoke, or clearly label after smoke/live test.</w:t>
            </w:r>
          </w:p>
        </w:tc>
      </w:tr>
      <w:tr>
        <w:tc>
          <w:tcPr>
            <w:tcW w:type="dxa" w:w="2450"/>
          </w:tcPr>
          <w:p>
            <w:pPr>
              <w:spacing w:before="0" w:after="0" w:line="276" w:lineRule="auto"/>
            </w:pPr>
            <w:r/>
            <w:r>
              <w:rPr>
                <w:rFonts w:ascii="Calibri" w:hAnsi="Calibri"/>
                <w:b w:val="0"/>
                <w:color w:val="0B2545"/>
                <w:sz w:val="16"/>
              </w:rPr>
              <w:t>Privacy deletion requests</w:t>
            </w:r>
          </w:p>
        </w:tc>
        <w:tc>
          <w:tcPr>
            <w:tcW w:type="dxa" w:w="3350"/>
          </w:tcPr>
          <w:p>
            <w:pPr>
              <w:spacing w:before="0" w:after="0" w:line="276" w:lineRule="auto"/>
            </w:pPr>
            <w:r/>
            <w:r>
              <w:rPr>
                <w:rFonts w:ascii="Calibri" w:hAnsi="Calibri"/>
                <w:b w:val="0"/>
                <w:color w:val="0B2545"/>
                <w:sz w:val="16"/>
              </w:rPr>
              <w:t>30-day target response unless legal exception applies.</w:t>
            </w:r>
          </w:p>
        </w:tc>
        <w:tc>
          <w:tcPr>
            <w:tcW w:type="dxa" w:w="3560"/>
          </w:tcPr>
          <w:p>
            <w:pPr>
              <w:spacing w:before="0" w:after="0" w:line="276" w:lineRule="auto"/>
            </w:pPr>
            <w:r/>
            <w:r>
              <w:rPr>
                <w:rFonts w:ascii="Calibri" w:hAnsi="Calibri"/>
                <w:b w:val="0"/>
                <w:color w:val="0B2545"/>
                <w:sz w:val="16"/>
              </w:rPr>
              <w:t>Verify identity, delete eligible data, retain only required exception records.</w:t>
            </w:r>
          </w:p>
        </w:tc>
      </w:tr>
    </w:tbl>
    <w:p>
      <w:pPr>
        <w:spacing w:after="80"/>
      </w:pPr>
    </w:p>
    <w:p>
      <w:r>
        <w:br w:type="page"/>
      </w:r>
    </w:p>
    <w:p>
      <w:pPr>
        <w:pStyle w:val="Heading1"/>
        <w:keepNext/>
      </w:pPr>
      <w:r>
        <w:t>13. Public Compliance And App Store Policy</w:t>
      </w: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100"/>
        <w:gridCol w:w="7260"/>
      </w:tblGrid>
      <w:tr>
        <w:tc>
          <w:tcPr>
            <w:tcW w:type="dxa" w:w="2100"/>
            <w:shd w:fill="F2F4F7"/>
          </w:tcPr>
          <w:p>
            <w:pPr>
              <w:spacing w:before="0" w:after="0" w:line="276" w:lineRule="auto"/>
            </w:pPr>
            <w:r/>
            <w:r>
              <w:rPr>
                <w:rFonts w:ascii="Calibri" w:hAnsi="Calibri"/>
                <w:b/>
                <w:color w:val="1F4D78"/>
                <w:sz w:val="19"/>
              </w:rPr>
              <w:t>Owner</w:t>
            </w:r>
          </w:p>
        </w:tc>
        <w:tc>
          <w:tcPr>
            <w:tcW w:type="dxa" w:w="7260"/>
          </w:tcPr>
          <w:p>
            <w:pPr>
              <w:spacing w:before="0" w:after="0" w:line="276" w:lineRule="auto"/>
            </w:pPr>
            <w:r/>
            <w:r>
              <w:rPr>
                <w:rFonts w:ascii="Calibri" w:hAnsi="Calibri"/>
                <w:b w:val="0"/>
                <w:color w:val="0B2545"/>
                <w:sz w:val="19"/>
              </w:rPr>
              <w:t>Product / App Store admin</w:t>
            </w:r>
          </w:p>
        </w:tc>
      </w:tr>
      <w:tr>
        <w:tc>
          <w:tcPr>
            <w:tcW w:type="dxa" w:w="2100"/>
            <w:shd w:fill="F2F4F7"/>
          </w:tcPr>
          <w:p>
            <w:pPr>
              <w:spacing w:before="0" w:after="0" w:line="276" w:lineRule="auto"/>
            </w:pPr>
            <w:r/>
            <w:r>
              <w:rPr>
                <w:rFonts w:ascii="Calibri" w:hAnsi="Calibri"/>
                <w:b/>
                <w:color w:val="1F4D78"/>
                <w:sz w:val="19"/>
              </w:rPr>
              <w:t>Public status</w:t>
            </w:r>
          </w:p>
        </w:tc>
        <w:tc>
          <w:tcPr>
            <w:tcW w:type="dxa" w:w="7260"/>
          </w:tcPr>
          <w:p>
            <w:pPr>
              <w:spacing w:before="0" w:after="0" w:line="276" w:lineRule="auto"/>
            </w:pPr>
            <w:r/>
            <w:r>
              <w:rPr>
                <w:rFonts w:ascii="Calibri" w:hAnsi="Calibri"/>
                <w:b w:val="0"/>
                <w:color w:val="0B2545"/>
                <w:sz w:val="19"/>
              </w:rPr>
              <w:t>Public through site pages and App Store Connect metadata.</w:t>
            </w:r>
          </w:p>
        </w:tc>
      </w:tr>
      <w:tr>
        <w:tc>
          <w:tcPr>
            <w:tcW w:type="dxa" w:w="2100"/>
            <w:shd w:fill="F2F4F7"/>
          </w:tcPr>
          <w:p>
            <w:pPr>
              <w:spacing w:before="0" w:after="0" w:line="276" w:lineRule="auto"/>
            </w:pPr>
            <w:r/>
            <w:r>
              <w:rPr>
                <w:rFonts w:ascii="Calibri" w:hAnsi="Calibri"/>
                <w:b/>
                <w:color w:val="1F4D78"/>
                <w:sz w:val="19"/>
              </w:rPr>
              <w:t>Launch rule</w:t>
            </w:r>
          </w:p>
        </w:tc>
        <w:tc>
          <w:tcPr>
            <w:tcW w:type="dxa" w:w="7260"/>
          </w:tcPr>
          <w:p>
            <w:pPr>
              <w:spacing w:before="0" w:after="0" w:line="276" w:lineRule="auto"/>
            </w:pPr>
            <w:r/>
            <w:r>
              <w:rPr>
                <w:rFonts w:ascii="Calibri" w:hAnsi="Calibri"/>
                <w:b w:val="0"/>
                <w:color w:val="0B2545"/>
                <w:sz w:val="19"/>
              </w:rPr>
              <w:t>Use this as the operating rule today; have counsel/vendor partners review before scaled rollout.</w:t>
            </w:r>
          </w:p>
        </w:tc>
      </w:tr>
    </w:tbl>
    <w:p>
      <w:pPr>
        <w:spacing w:after="160"/>
      </w:pPr>
    </w:p>
    <w:p>
      <w:pPr>
        <w:spacing w:before="0" w:after="120" w:line="300" w:lineRule="auto"/>
      </w:pPr>
      <w:r>
        <w:rPr>
          <w:rFonts w:ascii="Calibri" w:hAnsi="Calibri"/>
          <w:color w:val="0B2545"/>
          <w:sz w:val="22"/>
        </w:rPr>
        <w:t>The App Store and public website need to tell the same data and service story as the product. If App Store privacy answers, the privacy policy, the app permissions, and the actual service flow disagree, that is a review and trust problem.</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200"/>
        <w:gridCol w:w="4300"/>
        <w:gridCol w:w="2860"/>
      </w:tblGrid>
      <w:tr>
        <w:tc>
          <w:tcPr>
            <w:tcW w:type="dxa" w:w="22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Surface</w:t>
            </w:r>
          </w:p>
        </w:tc>
        <w:tc>
          <w:tcPr>
            <w:tcW w:type="dxa" w:w="43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Must show</w:t>
            </w:r>
          </w:p>
        </w:tc>
        <w:tc>
          <w:tcPr>
            <w:tcW w:type="dxa" w:w="286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Mismatch to avoid</w:t>
            </w:r>
          </w:p>
        </w:tc>
      </w:tr>
      <w:tr>
        <w:tc>
          <w:tcPr>
            <w:tcW w:type="dxa" w:w="2200"/>
          </w:tcPr>
          <w:p>
            <w:pPr>
              <w:spacing w:before="0" w:after="0" w:line="276" w:lineRule="auto"/>
            </w:pPr>
            <w:r/>
            <w:r>
              <w:rPr>
                <w:rFonts w:ascii="Calibri" w:hAnsi="Calibri"/>
                <w:b w:val="0"/>
                <w:color w:val="0B2545"/>
                <w:sz w:val="15"/>
              </w:rPr>
              <w:t>Privacy URL</w:t>
            </w:r>
          </w:p>
        </w:tc>
        <w:tc>
          <w:tcPr>
            <w:tcW w:type="dxa" w:w="4300"/>
          </w:tcPr>
          <w:p>
            <w:pPr>
              <w:spacing w:before="0" w:after="0" w:line="276" w:lineRule="auto"/>
            </w:pPr>
            <w:r/>
            <w:r>
              <w:rPr>
                <w:rFonts w:ascii="Calibri" w:hAnsi="Calibri"/>
                <w:b w:val="0"/>
                <w:color w:val="0B2545"/>
                <w:sz w:val="15"/>
              </w:rPr>
              <w:t>Public, accessible privacy policy URL.</w:t>
            </w:r>
          </w:p>
        </w:tc>
        <w:tc>
          <w:tcPr>
            <w:tcW w:type="dxa" w:w="2860"/>
          </w:tcPr>
          <w:p>
            <w:pPr>
              <w:spacing w:before="0" w:after="0" w:line="276" w:lineRule="auto"/>
            </w:pPr>
            <w:r/>
            <w:r>
              <w:rPr>
                <w:rFonts w:ascii="Calibri" w:hAnsi="Calibri"/>
                <w:b w:val="0"/>
                <w:color w:val="0B2545"/>
                <w:sz w:val="15"/>
              </w:rPr>
              <w:t>Broken privacy link or policy that omits location/identity/proof/payment vendors.</w:t>
            </w:r>
          </w:p>
        </w:tc>
      </w:tr>
      <w:tr>
        <w:tc>
          <w:tcPr>
            <w:tcW w:type="dxa" w:w="2200"/>
          </w:tcPr>
          <w:p>
            <w:pPr>
              <w:spacing w:before="0" w:after="0" w:line="276" w:lineRule="auto"/>
            </w:pPr>
            <w:r/>
            <w:r>
              <w:rPr>
                <w:rFonts w:ascii="Calibri" w:hAnsi="Calibri"/>
                <w:b w:val="0"/>
                <w:color w:val="0B2545"/>
                <w:sz w:val="15"/>
              </w:rPr>
              <w:t>App privacy answers</w:t>
            </w:r>
          </w:p>
        </w:tc>
        <w:tc>
          <w:tcPr>
            <w:tcW w:type="dxa" w:w="4300"/>
          </w:tcPr>
          <w:p>
            <w:pPr>
              <w:spacing w:before="0" w:after="0" w:line="276" w:lineRule="auto"/>
            </w:pPr>
            <w:r/>
            <w:r>
              <w:rPr>
                <w:rFonts w:ascii="Calibri" w:hAnsi="Calibri"/>
                <w:b w:val="0"/>
                <w:color w:val="0B2545"/>
                <w:sz w:val="15"/>
              </w:rPr>
              <w:t>All collected data types and partner SDK data, linked/unlinked status, tracking status, purpose.</w:t>
            </w:r>
          </w:p>
        </w:tc>
        <w:tc>
          <w:tcPr>
            <w:tcW w:type="dxa" w:w="2860"/>
          </w:tcPr>
          <w:p>
            <w:pPr>
              <w:spacing w:before="0" w:after="0" w:line="276" w:lineRule="auto"/>
            </w:pPr>
            <w:r/>
            <w:r>
              <w:rPr>
                <w:rFonts w:ascii="Calibri" w:hAnsi="Calibri"/>
                <w:b w:val="0"/>
                <w:color w:val="0B2545"/>
                <w:sz w:val="15"/>
              </w:rPr>
              <w:t>Declaring less data than the app/website actually collects.</w:t>
            </w:r>
          </w:p>
        </w:tc>
      </w:tr>
      <w:tr>
        <w:tc>
          <w:tcPr>
            <w:tcW w:type="dxa" w:w="2200"/>
          </w:tcPr>
          <w:p>
            <w:pPr>
              <w:spacing w:before="0" w:after="0" w:line="276" w:lineRule="auto"/>
            </w:pPr>
            <w:r/>
            <w:r>
              <w:rPr>
                <w:rFonts w:ascii="Calibri" w:hAnsi="Calibri"/>
                <w:b w:val="0"/>
                <w:color w:val="0B2545"/>
                <w:sz w:val="15"/>
              </w:rPr>
              <w:t>Account deletion</w:t>
            </w:r>
          </w:p>
        </w:tc>
        <w:tc>
          <w:tcPr>
            <w:tcW w:type="dxa" w:w="4300"/>
          </w:tcPr>
          <w:p>
            <w:pPr>
              <w:spacing w:before="0" w:after="0" w:line="276" w:lineRule="auto"/>
            </w:pPr>
            <w:r/>
            <w:r>
              <w:rPr>
                <w:rFonts w:ascii="Calibri" w:hAnsi="Calibri"/>
                <w:b w:val="0"/>
                <w:color w:val="0B2545"/>
                <w:sz w:val="15"/>
              </w:rPr>
              <w:t>Clear path for account/data deletion from app/website/support.</w:t>
            </w:r>
          </w:p>
        </w:tc>
        <w:tc>
          <w:tcPr>
            <w:tcW w:type="dxa" w:w="2860"/>
          </w:tcPr>
          <w:p>
            <w:pPr>
              <w:spacing w:before="0" w:after="0" w:line="276" w:lineRule="auto"/>
            </w:pPr>
            <w:r/>
            <w:r>
              <w:rPr>
                <w:rFonts w:ascii="Calibri" w:hAnsi="Calibri"/>
                <w:b w:val="0"/>
                <w:color w:val="0B2545"/>
                <w:sz w:val="15"/>
              </w:rPr>
              <w:t>Collecting account data with no deletion path.</w:t>
            </w:r>
          </w:p>
        </w:tc>
      </w:tr>
      <w:tr>
        <w:tc>
          <w:tcPr>
            <w:tcW w:type="dxa" w:w="2200"/>
          </w:tcPr>
          <w:p>
            <w:pPr>
              <w:spacing w:before="0" w:after="0" w:line="276" w:lineRule="auto"/>
            </w:pPr>
            <w:r/>
            <w:r>
              <w:rPr>
                <w:rFonts w:ascii="Calibri" w:hAnsi="Calibri"/>
                <w:b w:val="0"/>
                <w:color w:val="0B2545"/>
                <w:sz w:val="15"/>
              </w:rPr>
              <w:t>Terms and prohibited items</w:t>
            </w:r>
          </w:p>
        </w:tc>
        <w:tc>
          <w:tcPr>
            <w:tcW w:type="dxa" w:w="4300"/>
          </w:tcPr>
          <w:p>
            <w:pPr>
              <w:spacing w:before="0" w:after="0" w:line="276" w:lineRule="auto"/>
            </w:pPr>
            <w:r/>
            <w:r>
              <w:rPr>
                <w:rFonts w:ascii="Calibri" w:hAnsi="Calibri"/>
                <w:b w:val="0"/>
                <w:color w:val="0B2545"/>
                <w:sz w:val="15"/>
              </w:rPr>
              <w:t>Customer responsibilities, restricted items, coverage, refund/claims, launch status.</w:t>
            </w:r>
          </w:p>
        </w:tc>
        <w:tc>
          <w:tcPr>
            <w:tcW w:type="dxa" w:w="2860"/>
          </w:tcPr>
          <w:p>
            <w:pPr>
              <w:spacing w:before="0" w:after="0" w:line="276" w:lineRule="auto"/>
            </w:pPr>
            <w:r/>
            <w:r>
              <w:rPr>
                <w:rFonts w:ascii="Calibri" w:hAnsi="Calibri"/>
                <w:b w:val="0"/>
                <w:color w:val="0B2545"/>
                <w:sz w:val="15"/>
              </w:rPr>
              <w:t>Promising airline/TSA/cargo/coverage capability not actually active.</w:t>
            </w:r>
          </w:p>
        </w:tc>
      </w:tr>
      <w:tr>
        <w:tc>
          <w:tcPr>
            <w:tcW w:type="dxa" w:w="2200"/>
          </w:tcPr>
          <w:p>
            <w:pPr>
              <w:spacing w:before="0" w:after="0" w:line="276" w:lineRule="auto"/>
            </w:pPr>
            <w:r/>
            <w:r>
              <w:rPr>
                <w:rFonts w:ascii="Calibri" w:hAnsi="Calibri"/>
                <w:b w:val="0"/>
                <w:color w:val="0B2545"/>
                <w:sz w:val="15"/>
              </w:rPr>
              <w:t>Review/demo access</w:t>
            </w:r>
          </w:p>
        </w:tc>
        <w:tc>
          <w:tcPr>
            <w:tcW w:type="dxa" w:w="4300"/>
          </w:tcPr>
          <w:p>
            <w:pPr>
              <w:spacing w:before="0" w:after="0" w:line="276" w:lineRule="auto"/>
            </w:pPr>
            <w:r/>
            <w:r>
              <w:rPr>
                <w:rFonts w:ascii="Calibri" w:hAnsi="Calibri"/>
                <w:b w:val="0"/>
                <w:color w:val="0B2545"/>
                <w:sz w:val="15"/>
              </w:rPr>
              <w:t>Seeded customer/driver/admin or dispatcher flows when Apple needs to verify all account types.</w:t>
            </w:r>
          </w:p>
        </w:tc>
        <w:tc>
          <w:tcPr>
            <w:tcW w:type="dxa" w:w="2860"/>
          </w:tcPr>
          <w:p>
            <w:pPr>
              <w:spacing w:before="0" w:after="0" w:line="276" w:lineRule="auto"/>
            </w:pPr>
            <w:r/>
            <w:r>
              <w:rPr>
                <w:rFonts w:ascii="Calibri" w:hAnsi="Calibri"/>
                <w:b w:val="0"/>
                <w:color w:val="0B2545"/>
                <w:sz w:val="15"/>
              </w:rPr>
              <w:t>Only giving customer flow when app has driver/admin surfaces.</w:t>
            </w:r>
          </w:p>
        </w:tc>
      </w:tr>
    </w:tbl>
    <w:p>
      <w:pPr>
        <w:spacing w:after="80"/>
      </w:pPr>
    </w:p>
    <w:p>
      <w:pPr>
        <w:pStyle w:val="Heading2"/>
        <w:keepNext/>
      </w:pPr>
      <w:r>
        <w:t>Public Pages Still Missing Or Too Thin</w:t>
      </w:r>
    </w:p>
    <w:p>
      <w:pPr>
        <w:pStyle w:val="ListBullet"/>
        <w:spacing w:before="0" w:after="80" w:line="300" w:lineRule="auto"/>
        <w:ind w:left="540" w:hanging="271"/>
      </w:pPr>
      <w:r>
        <w:rPr>
          <w:rFonts w:ascii="Calibri" w:hAnsi="Calibri"/>
          <w:color w:val="0B2545"/>
          <w:sz w:val="21"/>
        </w:rPr>
        <w:t>A dedicated Service / Shipping Policy page, if Travelyt wants a public page separate from Terms.</w:t>
      </w:r>
    </w:p>
    <w:p>
      <w:pPr>
        <w:pStyle w:val="ListBullet"/>
        <w:spacing w:before="0" w:after="80" w:line="300" w:lineRule="auto"/>
        <w:ind w:left="540" w:hanging="271"/>
      </w:pPr>
      <w:r>
        <w:rPr>
          <w:rFonts w:ascii="Calibri" w:hAnsi="Calibri"/>
          <w:color w:val="0B2545"/>
          <w:sz w:val="21"/>
        </w:rPr>
        <w:t>A dedicated Refunds / Claims page, if customers need a cleaner support link than the full Terms.</w:t>
      </w:r>
    </w:p>
    <w:p>
      <w:pPr>
        <w:pStyle w:val="ListBullet"/>
        <w:spacing w:before="0" w:after="80" w:line="300" w:lineRule="auto"/>
        <w:ind w:left="540" w:hanging="271"/>
      </w:pPr>
      <w:r>
        <w:rPr>
          <w:rFonts w:ascii="Calibri" w:hAnsi="Calibri"/>
          <w:color w:val="0B2545"/>
          <w:sz w:val="21"/>
        </w:rPr>
        <w:t>A driver onboarding/admin approval page inside the admin portal, if manual access-code creation becomes too error-prone.</w:t>
      </w:r>
    </w:p>
    <w:p>
      <w:pPr>
        <w:pStyle w:val="ListBullet"/>
        <w:spacing w:before="0" w:after="80" w:line="300" w:lineRule="auto"/>
        <w:ind w:left="540" w:hanging="271"/>
      </w:pPr>
      <w:r>
        <w:rPr>
          <w:rFonts w:ascii="Calibri" w:hAnsi="Calibri"/>
          <w:color w:val="0B2545"/>
          <w:sz w:val="21"/>
        </w:rPr>
        <w:t>A booking-request control note on the public customer flow, if support needs one.</w:t>
      </w:r>
    </w:p>
    <w:p>
      <w:r>
        <w:br w:type="page"/>
      </w:r>
    </w:p>
    <w:p>
      <w:pPr>
        <w:pStyle w:val="Heading1"/>
        <w:keepNext/>
      </w:pPr>
      <w:r>
        <w:t>14. Live Test Go / No-Go Checklist</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250"/>
        <w:gridCol w:w="5600"/>
        <w:gridCol w:w="1510"/>
      </w:tblGrid>
      <w:tr>
        <w:tc>
          <w:tcPr>
            <w:tcW w:type="dxa" w:w="225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Check</w:t>
            </w:r>
          </w:p>
        </w:tc>
        <w:tc>
          <w:tcPr>
            <w:tcW w:type="dxa" w:w="56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Pass condition</w:t>
            </w:r>
          </w:p>
        </w:tc>
        <w:tc>
          <w:tcPr>
            <w:tcW w:type="dxa" w:w="151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Pass/fail</w:t>
            </w:r>
          </w:p>
        </w:tc>
      </w:tr>
      <w:tr>
        <w:tc>
          <w:tcPr>
            <w:tcW w:type="dxa" w:w="2250"/>
          </w:tcPr>
          <w:p>
            <w:pPr>
              <w:spacing w:before="0" w:after="0" w:line="276" w:lineRule="auto"/>
            </w:pPr>
            <w:r/>
            <w:r>
              <w:rPr>
                <w:rFonts w:ascii="Calibri" w:hAnsi="Calibri"/>
                <w:b w:val="0"/>
                <w:color w:val="0B2545"/>
                <w:sz w:val="15"/>
              </w:rPr>
              <w:t>Public links</w:t>
            </w:r>
          </w:p>
        </w:tc>
        <w:tc>
          <w:tcPr>
            <w:tcW w:type="dxa" w:w="5600"/>
          </w:tcPr>
          <w:p>
            <w:pPr>
              <w:spacing w:before="0" w:after="0" w:line="276" w:lineRule="auto"/>
            </w:pPr>
            <w:r/>
            <w:r>
              <w:rPr>
                <w:rFonts w:ascii="Calibri" w:hAnsi="Calibri"/>
                <w:b w:val="0"/>
                <w:color w:val="0B2545"/>
                <w:sz w:val="15"/>
              </w:rPr>
              <w:t>/privacy, /terms, /prohibited-items, /support all open.</w:t>
            </w:r>
          </w:p>
        </w:tc>
        <w:tc>
          <w:tcPr>
            <w:tcW w:type="dxa" w:w="1510"/>
          </w:tcPr>
          <w:p>
            <w:pPr>
              <w:spacing w:before="0" w:after="0" w:line="276" w:lineRule="auto"/>
            </w:pPr>
            <w:r/>
            <w:r>
              <w:rPr>
                <w:rFonts w:ascii="Calibri" w:hAnsi="Calibri"/>
                <w:b w:val="0"/>
                <w:color w:val="0B2545"/>
                <w:sz w:val="15"/>
              </w:rPr>
            </w:r>
          </w:p>
        </w:tc>
      </w:tr>
      <w:tr>
        <w:tc>
          <w:tcPr>
            <w:tcW w:type="dxa" w:w="2250"/>
          </w:tcPr>
          <w:p>
            <w:pPr>
              <w:spacing w:before="0" w:after="0" w:line="276" w:lineRule="auto"/>
            </w:pPr>
            <w:r/>
            <w:r>
              <w:rPr>
                <w:rFonts w:ascii="Calibri" w:hAnsi="Calibri"/>
                <w:b w:val="0"/>
                <w:color w:val="0B2545"/>
                <w:sz w:val="15"/>
              </w:rPr>
              <w:t>Public booking request</w:t>
            </w:r>
          </w:p>
        </w:tc>
        <w:tc>
          <w:tcPr>
            <w:tcW w:type="dxa" w:w="5600"/>
          </w:tcPr>
          <w:p>
            <w:pPr>
              <w:spacing w:before="0" w:after="0" w:line="276" w:lineRule="auto"/>
            </w:pPr>
            <w:r/>
            <w:r>
              <w:rPr>
                <w:rFonts w:ascii="Calibri" w:hAnsi="Calibri"/>
                <w:b w:val="0"/>
                <w:color w:val="0B2545"/>
                <w:sz w:val="15"/>
              </w:rPr>
              <w:t>Customer-created booking/request starts pending and cannot spoof paid/assigned state.</w:t>
            </w:r>
          </w:p>
        </w:tc>
        <w:tc>
          <w:tcPr>
            <w:tcW w:type="dxa" w:w="1510"/>
          </w:tcPr>
          <w:p>
            <w:pPr>
              <w:spacing w:before="0" w:after="0" w:line="276" w:lineRule="auto"/>
            </w:pPr>
            <w:r/>
            <w:r>
              <w:rPr>
                <w:rFonts w:ascii="Calibri" w:hAnsi="Calibri"/>
                <w:b w:val="0"/>
                <w:color w:val="0B2545"/>
                <w:sz w:val="15"/>
              </w:rPr>
            </w:r>
          </w:p>
        </w:tc>
      </w:tr>
      <w:tr>
        <w:tc>
          <w:tcPr>
            <w:tcW w:type="dxa" w:w="2250"/>
          </w:tcPr>
          <w:p>
            <w:pPr>
              <w:spacing w:before="0" w:after="0" w:line="276" w:lineRule="auto"/>
            </w:pPr>
            <w:r/>
            <w:r>
              <w:rPr>
                <w:rFonts w:ascii="Calibri" w:hAnsi="Calibri"/>
                <w:b w:val="0"/>
                <w:color w:val="0B2545"/>
                <w:sz w:val="15"/>
              </w:rPr>
              <w:t>Admin login</w:t>
            </w:r>
          </w:p>
        </w:tc>
        <w:tc>
          <w:tcPr>
            <w:tcW w:type="dxa" w:w="5600"/>
          </w:tcPr>
          <w:p>
            <w:pPr>
              <w:spacing w:before="0" w:after="0" w:line="276" w:lineRule="auto"/>
            </w:pPr>
            <w:r/>
            <w:r>
              <w:rPr>
                <w:rFonts w:ascii="Calibri" w:hAnsi="Calibri"/>
                <w:b w:val="0"/>
                <w:color w:val="0B2545"/>
                <w:sz w:val="15"/>
              </w:rPr>
              <w:t>Admin opens /admin and sees booking queue and driver-code controls.</w:t>
            </w:r>
          </w:p>
        </w:tc>
        <w:tc>
          <w:tcPr>
            <w:tcW w:type="dxa" w:w="1510"/>
          </w:tcPr>
          <w:p>
            <w:pPr>
              <w:spacing w:before="0" w:after="0" w:line="276" w:lineRule="auto"/>
            </w:pPr>
            <w:r/>
            <w:r>
              <w:rPr>
                <w:rFonts w:ascii="Calibri" w:hAnsi="Calibri"/>
                <w:b w:val="0"/>
                <w:color w:val="0B2545"/>
                <w:sz w:val="15"/>
              </w:rPr>
            </w:r>
          </w:p>
        </w:tc>
      </w:tr>
      <w:tr>
        <w:tc>
          <w:tcPr>
            <w:tcW w:type="dxa" w:w="2250"/>
          </w:tcPr>
          <w:p>
            <w:pPr>
              <w:spacing w:before="0" w:after="0" w:line="276" w:lineRule="auto"/>
            </w:pPr>
            <w:r/>
            <w:r>
              <w:rPr>
                <w:rFonts w:ascii="Calibri" w:hAnsi="Calibri"/>
                <w:b w:val="0"/>
                <w:color w:val="0B2545"/>
                <w:sz w:val="15"/>
              </w:rPr>
              <w:t>Driver code</w:t>
            </w:r>
          </w:p>
        </w:tc>
        <w:tc>
          <w:tcPr>
            <w:tcW w:type="dxa" w:w="5600"/>
          </w:tcPr>
          <w:p>
            <w:pPr>
              <w:spacing w:before="0" w:after="0" w:line="276" w:lineRule="auto"/>
            </w:pPr>
            <w:r/>
            <w:r>
              <w:rPr>
                <w:rFonts w:ascii="Calibri" w:hAnsi="Calibri"/>
                <w:b w:val="0"/>
                <w:color w:val="0B2545"/>
                <w:sz w:val="15"/>
              </w:rPr>
              <w:t>One active code for exact test driver; no shared generic code.</w:t>
            </w:r>
          </w:p>
        </w:tc>
        <w:tc>
          <w:tcPr>
            <w:tcW w:type="dxa" w:w="1510"/>
          </w:tcPr>
          <w:p>
            <w:pPr>
              <w:spacing w:before="0" w:after="0" w:line="276" w:lineRule="auto"/>
            </w:pPr>
            <w:r/>
            <w:r>
              <w:rPr>
                <w:rFonts w:ascii="Calibri" w:hAnsi="Calibri"/>
                <w:b w:val="0"/>
                <w:color w:val="0B2545"/>
                <w:sz w:val="15"/>
              </w:rPr>
            </w:r>
          </w:p>
        </w:tc>
      </w:tr>
      <w:tr>
        <w:tc>
          <w:tcPr>
            <w:tcW w:type="dxa" w:w="2250"/>
          </w:tcPr>
          <w:p>
            <w:pPr>
              <w:spacing w:before="0" w:after="0" w:line="276" w:lineRule="auto"/>
            </w:pPr>
            <w:r/>
            <w:r>
              <w:rPr>
                <w:rFonts w:ascii="Calibri" w:hAnsi="Calibri"/>
                <w:b w:val="0"/>
                <w:color w:val="0B2545"/>
                <w:sz w:val="15"/>
              </w:rPr>
              <w:t>Driver login</w:t>
            </w:r>
          </w:p>
        </w:tc>
        <w:tc>
          <w:tcPr>
            <w:tcW w:type="dxa" w:w="5600"/>
          </w:tcPr>
          <w:p>
            <w:pPr>
              <w:spacing w:before="0" w:after="0" w:line="276" w:lineRule="auto"/>
            </w:pPr>
            <w:r/>
            <w:r>
              <w:rPr>
                <w:rFonts w:ascii="Calibri" w:hAnsi="Calibri"/>
                <w:b w:val="0"/>
                <w:color w:val="0B2545"/>
                <w:sz w:val="15"/>
              </w:rPr>
              <w:t>Driver opens /driver and sees assigned job only.</w:t>
            </w:r>
          </w:p>
        </w:tc>
        <w:tc>
          <w:tcPr>
            <w:tcW w:type="dxa" w:w="1510"/>
          </w:tcPr>
          <w:p>
            <w:pPr>
              <w:spacing w:before="0" w:after="0" w:line="276" w:lineRule="auto"/>
            </w:pPr>
            <w:r/>
            <w:r>
              <w:rPr>
                <w:rFonts w:ascii="Calibri" w:hAnsi="Calibri"/>
                <w:b w:val="0"/>
                <w:color w:val="0B2545"/>
                <w:sz w:val="15"/>
              </w:rPr>
            </w:r>
          </w:p>
        </w:tc>
      </w:tr>
      <w:tr>
        <w:tc>
          <w:tcPr>
            <w:tcW w:type="dxa" w:w="2250"/>
          </w:tcPr>
          <w:p>
            <w:pPr>
              <w:spacing w:before="0" w:after="0" w:line="276" w:lineRule="auto"/>
            </w:pPr>
            <w:r/>
            <w:r>
              <w:rPr>
                <w:rFonts w:ascii="Calibri" w:hAnsi="Calibri"/>
                <w:b w:val="0"/>
                <w:color w:val="0B2545"/>
                <w:sz w:val="15"/>
              </w:rPr>
              <w:t>Booking status</w:t>
            </w:r>
          </w:p>
        </w:tc>
        <w:tc>
          <w:tcPr>
            <w:tcW w:type="dxa" w:w="5600"/>
          </w:tcPr>
          <w:p>
            <w:pPr>
              <w:spacing w:before="0" w:after="0" w:line="276" w:lineRule="auto"/>
            </w:pPr>
            <w:r/>
            <w:r>
              <w:rPr>
                <w:rFonts w:ascii="Calibri" w:hAnsi="Calibri"/>
                <w:b w:val="0"/>
                <w:color w:val="0B2545"/>
                <w:sz w:val="15"/>
              </w:rPr>
              <w:t>Job moves through paid/assigned/accepted/en_route/arrived/picked_up/in_transit/delivered as appropriate.</w:t>
            </w:r>
          </w:p>
        </w:tc>
        <w:tc>
          <w:tcPr>
            <w:tcW w:type="dxa" w:w="1510"/>
          </w:tcPr>
          <w:p>
            <w:pPr>
              <w:spacing w:before="0" w:after="0" w:line="276" w:lineRule="auto"/>
            </w:pPr>
            <w:r/>
            <w:r>
              <w:rPr>
                <w:rFonts w:ascii="Calibri" w:hAnsi="Calibri"/>
                <w:b w:val="0"/>
                <w:color w:val="0B2545"/>
                <w:sz w:val="15"/>
              </w:rPr>
            </w:r>
          </w:p>
        </w:tc>
      </w:tr>
      <w:tr>
        <w:tc>
          <w:tcPr>
            <w:tcW w:type="dxa" w:w="2250"/>
          </w:tcPr>
          <w:p>
            <w:pPr>
              <w:spacing w:before="0" w:after="0" w:line="276" w:lineRule="auto"/>
            </w:pPr>
            <w:r/>
            <w:r>
              <w:rPr>
                <w:rFonts w:ascii="Calibri" w:hAnsi="Calibri"/>
                <w:b w:val="0"/>
                <w:color w:val="0B2545"/>
                <w:sz w:val="15"/>
              </w:rPr>
              <w:t>GPS/proof</w:t>
            </w:r>
          </w:p>
        </w:tc>
        <w:tc>
          <w:tcPr>
            <w:tcW w:type="dxa" w:w="5600"/>
          </w:tcPr>
          <w:p>
            <w:pPr>
              <w:spacing w:before="0" w:after="0" w:line="276" w:lineRule="auto"/>
            </w:pPr>
            <w:r/>
            <w:r>
              <w:rPr>
                <w:rFonts w:ascii="Calibri" w:hAnsi="Calibri"/>
                <w:b w:val="0"/>
                <w:color w:val="0B2545"/>
                <w:sz w:val="15"/>
              </w:rPr>
              <w:t>Route start, arrival, seal/pickup, handoff/delivery proof gates work or block clearly.</w:t>
            </w:r>
          </w:p>
        </w:tc>
        <w:tc>
          <w:tcPr>
            <w:tcW w:type="dxa" w:w="1510"/>
          </w:tcPr>
          <w:p>
            <w:pPr>
              <w:spacing w:before="0" w:after="0" w:line="276" w:lineRule="auto"/>
            </w:pPr>
            <w:r/>
            <w:r>
              <w:rPr>
                <w:rFonts w:ascii="Calibri" w:hAnsi="Calibri"/>
                <w:b w:val="0"/>
                <w:color w:val="0B2545"/>
                <w:sz w:val="15"/>
              </w:rPr>
            </w:r>
          </w:p>
        </w:tc>
      </w:tr>
      <w:tr>
        <w:tc>
          <w:tcPr>
            <w:tcW w:type="dxa" w:w="2250"/>
          </w:tcPr>
          <w:p>
            <w:pPr>
              <w:spacing w:before="0" w:after="0" w:line="276" w:lineRule="auto"/>
            </w:pPr>
            <w:r/>
            <w:r>
              <w:rPr>
                <w:rFonts w:ascii="Calibri" w:hAnsi="Calibri"/>
                <w:b w:val="0"/>
                <w:color w:val="0B2545"/>
                <w:sz w:val="15"/>
              </w:rPr>
              <w:t>Incident path</w:t>
            </w:r>
          </w:p>
        </w:tc>
        <w:tc>
          <w:tcPr>
            <w:tcW w:type="dxa" w:w="5600"/>
          </w:tcPr>
          <w:p>
            <w:pPr>
              <w:spacing w:before="0" w:after="0" w:line="276" w:lineRule="auto"/>
            </w:pPr>
            <w:r/>
            <w:r>
              <w:rPr>
                <w:rFonts w:ascii="Calibri" w:hAnsi="Calibri"/>
                <w:b w:val="0"/>
                <w:color w:val="0B2545"/>
                <w:sz w:val="15"/>
              </w:rPr>
              <w:t>Admin can mark issue, resolve/archive stale test data, and revoke test code.</w:t>
            </w:r>
          </w:p>
        </w:tc>
        <w:tc>
          <w:tcPr>
            <w:tcW w:type="dxa" w:w="1510"/>
          </w:tcPr>
          <w:p>
            <w:pPr>
              <w:spacing w:before="0" w:after="0" w:line="276" w:lineRule="auto"/>
            </w:pPr>
            <w:r/>
            <w:r>
              <w:rPr>
                <w:rFonts w:ascii="Calibri" w:hAnsi="Calibri"/>
                <w:b w:val="0"/>
                <w:color w:val="0B2545"/>
                <w:sz w:val="15"/>
              </w:rPr>
            </w:r>
          </w:p>
        </w:tc>
      </w:tr>
      <w:tr>
        <w:tc>
          <w:tcPr>
            <w:tcW w:type="dxa" w:w="2250"/>
          </w:tcPr>
          <w:p>
            <w:pPr>
              <w:spacing w:before="0" w:after="0" w:line="276" w:lineRule="auto"/>
            </w:pPr>
            <w:r/>
            <w:r>
              <w:rPr>
                <w:rFonts w:ascii="Calibri" w:hAnsi="Calibri"/>
                <w:b w:val="0"/>
                <w:color w:val="0B2545"/>
                <w:sz w:val="15"/>
              </w:rPr>
              <w:t>Policy handoff</w:t>
            </w:r>
          </w:p>
        </w:tc>
        <w:tc>
          <w:tcPr>
            <w:tcW w:type="dxa" w:w="5600"/>
          </w:tcPr>
          <w:p>
            <w:pPr>
              <w:spacing w:before="0" w:after="0" w:line="276" w:lineRule="auto"/>
            </w:pPr>
            <w:r/>
            <w:r>
              <w:rPr>
                <w:rFonts w:ascii="Calibri" w:hAnsi="Calibri"/>
                <w:b w:val="0"/>
                <w:color w:val="0B2545"/>
                <w:sz w:val="15"/>
              </w:rPr>
              <w:t>Customer/driver/admin know prohibited items, privacy/data handling, refunds/claims, and custody proof expectations.</w:t>
            </w:r>
          </w:p>
        </w:tc>
        <w:tc>
          <w:tcPr>
            <w:tcW w:type="dxa" w:w="1510"/>
          </w:tcPr>
          <w:p>
            <w:pPr>
              <w:spacing w:before="0" w:after="0" w:line="276" w:lineRule="auto"/>
            </w:pPr>
            <w:r/>
            <w:r>
              <w:rPr>
                <w:rFonts w:ascii="Calibri" w:hAnsi="Calibri"/>
                <w:b w:val="0"/>
                <w:color w:val="0B2545"/>
                <w:sz w:val="15"/>
              </w:rPr>
            </w:r>
          </w:p>
        </w:tc>
      </w:tr>
    </w:tbl>
    <w:p>
      <w:pPr>
        <w:spacing w:after="80"/>
      </w:pPr>
    </w:p>
    <w:p>
      <w:r>
        <w:br w:type="page"/>
      </w:r>
    </w:p>
    <w:p>
      <w:pPr>
        <w:pStyle w:val="Heading1"/>
        <w:keepNext/>
      </w:pPr>
      <w:r>
        <w:t>15. Printable Forms</w:t>
      </w:r>
    </w:p>
    <w:p>
      <w:pPr>
        <w:pStyle w:val="Heading2"/>
        <w:keepNext/>
      </w:pPr>
      <w:r>
        <w:t>Customer Service And Bag Attestation</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200"/>
        <w:gridCol w:w="7160"/>
      </w:tblGrid>
      <w:tr>
        <w:tc>
          <w:tcPr>
            <w:tcW w:type="dxa" w:w="2200"/>
            <w:shd w:fill="F2F4F7"/>
          </w:tcPr>
          <w:p>
            <w:pPr>
              <w:spacing w:before="0" w:after="0" w:line="276" w:lineRule="auto"/>
            </w:pPr>
            <w:r/>
            <w:r>
              <w:rPr>
                <w:rFonts w:ascii="Calibri" w:hAnsi="Calibri"/>
                <w:b/>
                <w:color w:val="1F4D78"/>
                <w:sz w:val="18"/>
              </w:rPr>
              <w:t>Booking ID</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Customer / traveler</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Authorized pickup person</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Authorized release person</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Service type</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Pickup location</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Airport / destination</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Travel date / flight</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Bag count / descriptions</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Staff initials</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bl>
    <w:p>
      <w:pPr>
        <w:spacing w:after="80"/>
      </w:pPr>
    </w:p>
    <w:p>
      <w:pPr>
        <w:pStyle w:val="ListBullet"/>
        <w:spacing w:before="0" w:after="80" w:line="300" w:lineRule="auto"/>
        <w:ind w:left="540" w:hanging="271"/>
      </w:pPr>
      <w:r>
        <w:rPr>
          <w:rFonts w:ascii="Calibri" w:hAnsi="Calibri"/>
          <w:color w:val="0B2545"/>
          <w:sz w:val="21"/>
        </w:rPr>
        <w:t>[ ] Customer confirmed no prohibited or undeclared restricted items.</w:t>
      </w:r>
    </w:p>
    <w:p>
      <w:pPr>
        <w:pStyle w:val="ListBullet"/>
        <w:spacing w:before="0" w:after="80" w:line="300" w:lineRule="auto"/>
        <w:ind w:left="540" w:hanging="271"/>
      </w:pPr>
      <w:r>
        <w:rPr>
          <w:rFonts w:ascii="Calibri" w:hAnsi="Calibri"/>
          <w:color w:val="0B2545"/>
          <w:sz w:val="21"/>
        </w:rPr>
        <w:t>[ ] Customer kept passports, IDs, medication, cash, keys, jewelry, electronics, and irreplaceable items with them.</w:t>
      </w:r>
    </w:p>
    <w:p>
      <w:pPr>
        <w:pStyle w:val="ListBullet"/>
        <w:spacing w:before="0" w:after="80" w:line="300" w:lineRule="auto"/>
        <w:ind w:left="540" w:hanging="271"/>
      </w:pPr>
      <w:r>
        <w:rPr>
          <w:rFonts w:ascii="Calibri" w:hAnsi="Calibri"/>
          <w:color w:val="0B2545"/>
          <w:sz w:val="21"/>
        </w:rPr>
        <w:t>[ ] Customer understands airline, TSA, FAA, carrier, and airport rules may override Travelyt service.</w:t>
      </w:r>
    </w:p>
    <w:p>
      <w:pPr>
        <w:pStyle w:val="ListBullet"/>
        <w:spacing w:before="0" w:after="80" w:line="300" w:lineRule="auto"/>
        <w:ind w:left="540" w:hanging="271"/>
      </w:pPr>
      <w:r>
        <w:rPr>
          <w:rFonts w:ascii="Calibri" w:hAnsi="Calibri"/>
          <w:color w:val="0B2545"/>
          <w:sz w:val="21"/>
        </w:rPr>
        <w:t>[ ] Customer understands payment does not start custody until admin confirms feasibility.</w:t>
      </w:r>
    </w:p>
    <w:p>
      <w:pPr>
        <w:pStyle w:val="ListBullet"/>
        <w:spacing w:before="0" w:after="80" w:line="300" w:lineRule="auto"/>
        <w:ind w:left="540" w:hanging="271"/>
      </w:pPr>
      <w:r>
        <w:rPr>
          <w:rFonts w:ascii="Calibri" w:hAnsi="Calibri"/>
          <w:color w:val="0B2545"/>
          <w:sz w:val="21"/>
        </w:rPr>
        <w:t>[ ] Customer signature / approval captured: ______________________________  Date: __________</w:t>
      </w:r>
    </w:p>
    <w:p>
      <w:pPr>
        <w:pStyle w:val="Heading2"/>
        <w:keepNext/>
      </w:pPr>
      <w:r>
        <w:t>Driver Live Run Sheet</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200"/>
        <w:gridCol w:w="7160"/>
      </w:tblGrid>
      <w:tr>
        <w:tc>
          <w:tcPr>
            <w:tcW w:type="dxa" w:w="2200"/>
            <w:shd w:fill="F2F4F7"/>
          </w:tcPr>
          <w:p>
            <w:pPr>
              <w:spacing w:before="0" w:after="0" w:line="276" w:lineRule="auto"/>
            </w:pPr>
            <w:r/>
            <w:r>
              <w:rPr>
                <w:rFonts w:ascii="Calibri" w:hAnsi="Calibri"/>
                <w:b/>
                <w:color w:val="1F4D78"/>
                <w:sz w:val="18"/>
              </w:rPr>
              <w:t>Driver name</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Access-code preview</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Booking ID</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Assigned service</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Vehicle / phone</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Start GPS/time</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Arrival GPS/time</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Seal ID / bag proof</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Handoff / delivery proof</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Admin closeout</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bl>
    <w:p>
      <w:pPr>
        <w:spacing w:after="80"/>
      </w:pPr>
    </w:p>
    <w:p>
      <w:pPr>
        <w:pStyle w:val="ListBullet"/>
        <w:spacing w:before="0" w:after="80" w:line="300" w:lineRule="auto"/>
        <w:ind w:left="540" w:hanging="271"/>
      </w:pPr>
      <w:r>
        <w:rPr>
          <w:rFonts w:ascii="Calibri" w:hAnsi="Calibri"/>
          <w:color w:val="0B2545"/>
          <w:sz w:val="21"/>
        </w:rPr>
        <w:t>[ ] Driver used their own exact name and active access code.</w:t>
      </w:r>
    </w:p>
    <w:p>
      <w:pPr>
        <w:pStyle w:val="ListBullet"/>
        <w:spacing w:before="0" w:after="80" w:line="300" w:lineRule="auto"/>
        <w:ind w:left="540" w:hanging="271"/>
      </w:pPr>
      <w:r>
        <w:rPr>
          <w:rFonts w:ascii="Calibri" w:hAnsi="Calibri"/>
          <w:color w:val="0B2545"/>
          <w:sz w:val="21"/>
        </w:rPr>
        <w:t>[ ] Driver saw only assigned/eligible job.</w:t>
      </w:r>
    </w:p>
    <w:p>
      <w:pPr>
        <w:pStyle w:val="ListBullet"/>
        <w:spacing w:before="0" w:after="80" w:line="300" w:lineRule="auto"/>
        <w:ind w:left="540" w:hanging="271"/>
      </w:pPr>
      <w:r>
        <w:rPr>
          <w:rFonts w:ascii="Calibri" w:hAnsi="Calibri"/>
          <w:color w:val="0B2545"/>
          <w:sz w:val="21"/>
        </w:rPr>
        <w:t>[ ] GPS checkpoints captured for route start and arrival.</w:t>
      </w:r>
    </w:p>
    <w:p>
      <w:pPr>
        <w:pStyle w:val="ListBullet"/>
        <w:spacing w:before="0" w:after="80" w:line="300" w:lineRule="auto"/>
        <w:ind w:left="540" w:hanging="271"/>
      </w:pPr>
      <w:r>
        <w:rPr>
          <w:rFonts w:ascii="Calibri" w:hAnsi="Calibri"/>
          <w:color w:val="0B2545"/>
          <w:sz w:val="21"/>
        </w:rPr>
        <w:t>[ ] Bag proof and seal proof captured before custody advanced.</w:t>
      </w:r>
    </w:p>
    <w:p>
      <w:pPr>
        <w:pStyle w:val="ListBullet"/>
        <w:spacing w:before="0" w:after="80" w:line="300" w:lineRule="auto"/>
        <w:ind w:left="540" w:hanging="271"/>
      </w:pPr>
      <w:r>
        <w:rPr>
          <w:rFonts w:ascii="Calibri" w:hAnsi="Calibri"/>
          <w:color w:val="0B2545"/>
          <w:sz w:val="21"/>
        </w:rPr>
        <w:t>[ ] Any exception was logged before continuing.</w:t>
      </w:r>
    </w:p>
    <w:p>
      <w:r>
        <w:br w:type="page"/>
      </w:r>
    </w:p>
    <w:p>
      <w:pPr>
        <w:pStyle w:val="Heading2"/>
        <w:keepNext/>
      </w:pPr>
      <w:r>
        <w:t>Incident / Claim Report</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200"/>
        <w:gridCol w:w="7160"/>
      </w:tblGrid>
      <w:tr>
        <w:tc>
          <w:tcPr>
            <w:tcW w:type="dxa" w:w="2200"/>
            <w:shd w:fill="F2F4F7"/>
          </w:tcPr>
          <w:p>
            <w:pPr>
              <w:spacing w:before="0" w:after="0" w:line="276" w:lineRule="auto"/>
            </w:pPr>
            <w:r/>
            <w:r>
              <w:rPr>
                <w:rFonts w:ascii="Calibri" w:hAnsi="Calibri"/>
                <w:b/>
                <w:color w:val="1F4D78"/>
                <w:sz w:val="18"/>
              </w:rPr>
              <w:t>Incident ID</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Booking ID</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Customer / driver</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Incident type</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Time discovered</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Last verified custody point</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Evidence collected</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Customer notified by</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Refund / claim decision</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r>
        <w:tc>
          <w:tcPr>
            <w:tcW w:type="dxa" w:w="2200"/>
            <w:shd w:fill="F2F4F7"/>
          </w:tcPr>
          <w:p>
            <w:pPr>
              <w:spacing w:before="0" w:after="0" w:line="276" w:lineRule="auto"/>
            </w:pPr>
            <w:r/>
            <w:r>
              <w:rPr>
                <w:rFonts w:ascii="Calibri" w:hAnsi="Calibri"/>
                <w:b/>
                <w:color w:val="1F4D78"/>
                <w:sz w:val="18"/>
              </w:rPr>
              <w:t>Closeout owner</w:t>
            </w:r>
          </w:p>
        </w:tc>
        <w:tc>
          <w:tcPr>
            <w:tcW w:type="dxa" w:w="7160"/>
          </w:tcPr>
          <w:p>
            <w:pPr>
              <w:spacing w:before="0" w:after="0" w:line="276" w:lineRule="auto"/>
            </w:pPr>
            <w:r/>
            <w:r>
              <w:rPr>
                <w:rFonts w:ascii="Calibri" w:hAnsi="Calibri"/>
                <w:b w:val="0"/>
                <w:color w:val="0B2545"/>
                <w:sz w:val="18"/>
              </w:rPr>
              <w:t>__________________________________________________________</w:t>
            </w:r>
          </w:p>
        </w:tc>
      </w:tr>
    </w:tbl>
    <w:p>
      <w:pPr>
        <w:spacing w:after="80"/>
      </w:pPr>
    </w:p>
    <w:p>
      <w:pPr>
        <w:pStyle w:val="ListBullet"/>
        <w:spacing w:before="0" w:after="80" w:line="300" w:lineRule="auto"/>
        <w:ind w:left="540" w:hanging="271"/>
      </w:pPr>
      <w:r>
        <w:rPr>
          <w:rFonts w:ascii="Calibri" w:hAnsi="Calibri"/>
          <w:color w:val="0B2545"/>
          <w:sz w:val="21"/>
        </w:rPr>
        <w:t>[ ] Photos, GPS, seal ID, receipts, proof history, and customer statement attached.</w:t>
      </w:r>
    </w:p>
    <w:p>
      <w:pPr>
        <w:pStyle w:val="ListBullet"/>
        <w:spacing w:before="0" w:after="80" w:line="300" w:lineRule="auto"/>
        <w:ind w:left="540" w:hanging="271"/>
      </w:pPr>
      <w:r>
        <w:rPr>
          <w:rFonts w:ascii="Calibri" w:hAnsi="Calibri"/>
          <w:color w:val="0B2545"/>
          <w:sz w:val="21"/>
        </w:rPr>
        <w:t>[ ] Admin determined whether the issue is service failure, prohibited item, stale code, privacy/security, payment, or partner/carrier issue.</w:t>
      </w:r>
    </w:p>
    <w:p>
      <w:pPr>
        <w:pStyle w:val="ListBullet"/>
        <w:spacing w:before="0" w:after="80" w:line="300" w:lineRule="auto"/>
        <w:ind w:left="540" w:hanging="271"/>
      </w:pPr>
      <w:r>
        <w:rPr>
          <w:rFonts w:ascii="Calibri" w:hAnsi="Calibri"/>
          <w:color w:val="0B2545"/>
          <w:sz w:val="21"/>
        </w:rPr>
        <w:t>[ ] Customer received written next step.</w:t>
      </w:r>
    </w:p>
    <w:p>
      <w:pPr>
        <w:pStyle w:val="ListBullet"/>
        <w:spacing w:before="0" w:after="80" w:line="300" w:lineRule="auto"/>
        <w:ind w:left="540" w:hanging="271"/>
      </w:pPr>
      <w:r>
        <w:rPr>
          <w:rFonts w:ascii="Calibri" w:hAnsi="Calibri"/>
          <w:color w:val="0B2545"/>
          <w:sz w:val="21"/>
        </w:rPr>
        <w:t>[ ] Stale test data/code archived or revoked if applicable.</w:t>
      </w:r>
    </w:p>
    <w:p>
      <w:r>
        <w:br w:type="page"/>
      </w:r>
    </w:p>
    <w:p>
      <w:pPr>
        <w:pStyle w:val="Heading1"/>
        <w:keepNext/>
      </w:pPr>
      <w:r>
        <w:t>16. Counsel, Insurance, And Vendor Review Punch List</w:t>
      </w:r>
    </w:p>
    <w:p>
      <w:pPr>
        <w:pStyle w:val="ListBullet"/>
        <w:spacing w:before="0" w:after="80" w:line="300" w:lineRule="auto"/>
        <w:ind w:left="540" w:hanging="271"/>
      </w:pPr>
      <w:r>
        <w:rPr>
          <w:rFonts w:ascii="Calibri" w:hAnsi="Calibri"/>
          <w:color w:val="0B2545"/>
          <w:sz w:val="21"/>
        </w:rPr>
        <w:t>Confirm Travelyt legal entity name, business address, support/legal/privacy/claims contacts, and whether public seller name should be Travelyt, Inc.</w:t>
      </w:r>
    </w:p>
    <w:p>
      <w:pPr>
        <w:pStyle w:val="ListBullet"/>
        <w:spacing w:before="0" w:after="80" w:line="300" w:lineRule="auto"/>
        <w:ind w:left="540" w:hanging="271"/>
      </w:pPr>
      <w:r>
        <w:rPr>
          <w:rFonts w:ascii="Calibri" w:hAnsi="Calibri"/>
          <w:color w:val="0B2545"/>
          <w:sz w:val="21"/>
        </w:rPr>
        <w:t>Confirm whether Travelyt is only luggage courier/airport handoff, or also using a regulated carrier/cargo/shipping partner for any lane.</w:t>
      </w:r>
    </w:p>
    <w:p>
      <w:pPr>
        <w:pStyle w:val="ListBullet"/>
        <w:spacing w:before="0" w:after="80" w:line="300" w:lineRule="auto"/>
        <w:ind w:left="540" w:hanging="271"/>
      </w:pPr>
      <w:r>
        <w:rPr>
          <w:rFonts w:ascii="Calibri" w:hAnsi="Calibri"/>
          <w:color w:val="0B2545"/>
          <w:sz w:val="21"/>
        </w:rPr>
        <w:t>Review customer Terms, arbitration/class waiver, limitation of liability, refund terms, chargeback/dispute handling, and state law venue.</w:t>
      </w:r>
    </w:p>
    <w:p>
      <w:pPr>
        <w:pStyle w:val="ListBullet"/>
        <w:spacing w:before="0" w:after="80" w:line="300" w:lineRule="auto"/>
        <w:ind w:left="540" w:hanging="271"/>
      </w:pPr>
      <w:r>
        <w:rPr>
          <w:rFonts w:ascii="Calibri" w:hAnsi="Calibri"/>
          <w:color w:val="0B2545"/>
          <w:sz w:val="21"/>
        </w:rPr>
        <w:t>Confirm insurance coverage: care/custody/control, cargo or motor-truck cargo, commercial auto, CGL, errors/omissions, cyber/privacy, and declared-value upsell.</w:t>
      </w:r>
    </w:p>
    <w:p>
      <w:pPr>
        <w:pStyle w:val="ListBullet"/>
        <w:spacing w:before="0" w:after="80" w:line="300" w:lineRule="auto"/>
        <w:ind w:left="540" w:hanging="271"/>
      </w:pPr>
      <w:r>
        <w:rPr>
          <w:rFonts w:ascii="Calibri" w:hAnsi="Calibri"/>
          <w:color w:val="0B2545"/>
          <w:sz w:val="21"/>
        </w:rPr>
        <w:t>Review prohibited items against TSA, FAA PackSafe, airlines, airports, carrier/DHL/cargo partners, and state/federal controlled-substance rules.</w:t>
      </w:r>
    </w:p>
    <w:p>
      <w:pPr>
        <w:pStyle w:val="ListBullet"/>
        <w:spacing w:before="0" w:after="80" w:line="300" w:lineRule="auto"/>
        <w:ind w:left="540" w:hanging="271"/>
      </w:pPr>
      <w:r>
        <w:rPr>
          <w:rFonts w:ascii="Calibri" w:hAnsi="Calibri"/>
          <w:color w:val="0B2545"/>
          <w:sz w:val="21"/>
        </w:rPr>
        <w:t>Review driver classification, background-check consent, MVR, FCRA/adverse-action workflow, ID/liveness vendor, MFA, and access-code records.</w:t>
      </w:r>
    </w:p>
    <w:p>
      <w:pPr>
        <w:pStyle w:val="ListBullet"/>
        <w:spacing w:before="0" w:after="80" w:line="300" w:lineRule="auto"/>
        <w:ind w:left="540" w:hanging="271"/>
      </w:pPr>
      <w:r>
        <w:rPr>
          <w:rFonts w:ascii="Calibri" w:hAnsi="Calibri"/>
          <w:color w:val="0B2545"/>
          <w:sz w:val="21"/>
        </w:rPr>
        <w:t>Review privacy policy against actual collected data, Apple privacy labels, Stripe/Supabase/Resend/Twilio/analytics/push vendors, GPS/proof capture, AI usage, deletion rights, and breach notice requirements.</w:t>
      </w:r>
    </w:p>
    <w:p>
      <w:pPr>
        <w:pStyle w:val="ListBullet"/>
        <w:spacing w:before="0" w:after="80" w:line="300" w:lineRule="auto"/>
        <w:ind w:left="540" w:hanging="271"/>
      </w:pPr>
      <w:r>
        <w:rPr>
          <w:rFonts w:ascii="Calibri" w:hAnsi="Calibri"/>
          <w:color w:val="0B2545"/>
          <w:sz w:val="21"/>
        </w:rPr>
        <w:t>Confirm any future partner/cargo workflow is intentionally approved before adding it to Travelyt.</w:t>
      </w:r>
    </w:p>
    <w:p>
      <w:pPr>
        <w:pStyle w:val="Heading1"/>
        <w:keepNext/>
      </w:pPr>
      <w:r>
        <w:t>17. Source References Used For This Draft</w:t>
      </w:r>
    </w:p>
    <w:p>
      <w:pPr>
        <w:spacing w:before="0" w:after="120" w:line="300" w:lineRule="auto"/>
      </w:pPr>
      <w:r>
        <w:rPr>
          <w:rFonts w:ascii="Calibri" w:hAnsi="Calibri"/>
          <w:color w:val="0B2545"/>
          <w:sz w:val="22"/>
        </w:rPr>
        <w:t>This packet was drafted from Travelyt's current repo pages and operating docs, plus public regulatory/platform guidance checked during drafting. These links are not a substitute for counsel or vendor review.</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850"/>
        <w:gridCol w:w="6510"/>
      </w:tblGrid>
      <w:tr>
        <w:tc>
          <w:tcPr>
            <w:tcW w:type="dxa" w:w="285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Source</w:t>
            </w:r>
          </w:p>
        </w:tc>
        <w:tc>
          <w:tcPr>
            <w:tcW w:type="dxa" w:w="651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Why it matters</w:t>
            </w:r>
          </w:p>
        </w:tc>
      </w:tr>
      <w:tr>
        <w:tc>
          <w:tcPr>
            <w:tcW w:type="dxa" w:w="2850"/>
          </w:tcPr>
          <w:p>
            <w:pPr>
              <w:spacing w:before="0" w:after="0" w:line="276" w:lineRule="auto"/>
            </w:pPr>
            <w:r/>
            <w:r>
              <w:rPr>
                <w:rFonts w:ascii="Calibri" w:hAnsi="Calibri"/>
                <w:b w:val="0"/>
                <w:color w:val="0B2545"/>
                <w:sz w:val="16"/>
              </w:rPr>
              <w:t>Travelyt repo: /privacy</w:t>
            </w:r>
          </w:p>
        </w:tc>
        <w:tc>
          <w:tcPr>
            <w:tcW w:type="dxa" w:w="6510"/>
          </w:tcPr>
          <w:p>
            <w:pPr>
              <w:spacing w:before="0" w:after="0" w:line="276" w:lineRule="auto"/>
            </w:pPr>
            <w:r/>
            <w:r>
              <w:rPr>
                <w:rFonts w:ascii="Calibri" w:hAnsi="Calibri"/>
                <w:b w:val="0"/>
                <w:color w:val="0B2545"/>
                <w:sz w:val="16"/>
              </w:rPr>
              <w:t>Public privacy policy: data categories, use, sharing, retention, AI, deletion, contact.</w:t>
            </w:r>
          </w:p>
        </w:tc>
      </w:tr>
      <w:tr>
        <w:tc>
          <w:tcPr>
            <w:tcW w:type="dxa" w:w="2850"/>
          </w:tcPr>
          <w:p>
            <w:pPr>
              <w:spacing w:before="0" w:after="0" w:line="276" w:lineRule="auto"/>
            </w:pPr>
            <w:r/>
            <w:r>
              <w:rPr>
                <w:rFonts w:ascii="Calibri" w:hAnsi="Calibri"/>
                <w:b w:val="0"/>
                <w:color w:val="0B2545"/>
                <w:sz w:val="16"/>
              </w:rPr>
              <w:t>Travelyt repo: /terms</w:t>
            </w:r>
          </w:p>
        </w:tc>
        <w:tc>
          <w:tcPr>
            <w:tcW w:type="dxa" w:w="6510"/>
          </w:tcPr>
          <w:p>
            <w:pPr>
              <w:spacing w:before="0" w:after="0" w:line="276" w:lineRule="auto"/>
            </w:pPr>
            <w:r/>
            <w:r>
              <w:rPr>
                <w:rFonts w:ascii="Calibri" w:hAnsi="Calibri"/>
                <w:b w:val="0"/>
                <w:color w:val="0B2545"/>
                <w:sz w:val="16"/>
              </w:rPr>
              <w:t>Public terms baseline: service, customer duties, identity, custody, restricted items, coverage, AI, payment.</w:t>
            </w:r>
          </w:p>
        </w:tc>
      </w:tr>
      <w:tr>
        <w:tc>
          <w:tcPr>
            <w:tcW w:type="dxa" w:w="2850"/>
          </w:tcPr>
          <w:p>
            <w:pPr>
              <w:spacing w:before="0" w:after="0" w:line="276" w:lineRule="auto"/>
            </w:pPr>
            <w:r/>
            <w:r>
              <w:rPr>
                <w:rFonts w:ascii="Calibri" w:hAnsi="Calibri"/>
                <w:b w:val="0"/>
                <w:color w:val="0B2545"/>
                <w:sz w:val="16"/>
              </w:rPr>
              <w:t>Travelyt repo: /prohibited-items</w:t>
            </w:r>
          </w:p>
        </w:tc>
        <w:tc>
          <w:tcPr>
            <w:tcW w:type="dxa" w:w="6510"/>
          </w:tcPr>
          <w:p>
            <w:pPr>
              <w:spacing w:before="0" w:after="0" w:line="276" w:lineRule="auto"/>
            </w:pPr>
            <w:r/>
            <w:r>
              <w:rPr>
                <w:rFonts w:ascii="Calibri" w:hAnsi="Calibri"/>
                <w:b w:val="0"/>
                <w:color w:val="0B2545"/>
                <w:sz w:val="16"/>
              </w:rPr>
              <w:t>Public prohibited-item categories and TSA/FAA links.</w:t>
            </w:r>
          </w:p>
        </w:tc>
      </w:tr>
      <w:tr>
        <w:tc>
          <w:tcPr>
            <w:tcW w:type="dxa" w:w="2850"/>
          </w:tcPr>
          <w:p>
            <w:pPr>
              <w:spacing w:before="0" w:after="0" w:line="276" w:lineRule="auto"/>
            </w:pPr>
            <w:r/>
            <w:r>
              <w:rPr>
                <w:rFonts w:ascii="Calibri" w:hAnsi="Calibri"/>
                <w:b w:val="0"/>
                <w:color w:val="0B2545"/>
                <w:sz w:val="16"/>
              </w:rPr>
              <w:t>Apple App Privacy Details</w:t>
            </w:r>
          </w:p>
        </w:tc>
        <w:tc>
          <w:tcPr>
            <w:tcW w:type="dxa" w:w="6510"/>
          </w:tcPr>
          <w:p>
            <w:pPr>
              <w:spacing w:before="0" w:after="0" w:line="276" w:lineRule="auto"/>
            </w:pPr>
            <w:r/>
            <w:r>
              <w:rPr>
                <w:rFonts w:ascii="Calibri" w:hAnsi="Calibri"/>
                <w:b w:val="0"/>
                <w:color w:val="0B2545"/>
                <w:sz w:val="16"/>
              </w:rPr>
              <w:t>App Store privacy labels must reflect actual data collected by the app and partners.</w:t>
            </w:r>
          </w:p>
        </w:tc>
      </w:tr>
      <w:tr>
        <w:tc>
          <w:tcPr>
            <w:tcW w:type="dxa" w:w="2850"/>
          </w:tcPr>
          <w:p>
            <w:pPr>
              <w:spacing w:before="0" w:after="0" w:line="276" w:lineRule="auto"/>
            </w:pPr>
            <w:r/>
            <w:r>
              <w:rPr>
                <w:rFonts w:ascii="Calibri" w:hAnsi="Calibri"/>
                <w:b w:val="0"/>
                <w:color w:val="0B2545"/>
                <w:sz w:val="16"/>
              </w:rPr>
              <w:t>FTC mobile app guidance</w:t>
            </w:r>
          </w:p>
        </w:tc>
        <w:tc>
          <w:tcPr>
            <w:tcW w:type="dxa" w:w="6510"/>
          </w:tcPr>
          <w:p>
            <w:pPr>
              <w:spacing w:before="0" w:after="0" w:line="276" w:lineRule="auto"/>
            </w:pPr>
            <w:r/>
            <w:r>
              <w:rPr>
                <w:rFonts w:ascii="Calibri" w:hAnsi="Calibri"/>
                <w:b w:val="0"/>
                <w:color w:val="0B2545"/>
                <w:sz w:val="16"/>
              </w:rPr>
              <w:t>Marketing/privacy statements must be truthful; non-obvious collection/sharing and sensitive data need clear disclosure/consent.</w:t>
            </w:r>
          </w:p>
        </w:tc>
      </w:tr>
      <w:tr>
        <w:tc>
          <w:tcPr>
            <w:tcW w:type="dxa" w:w="2850"/>
          </w:tcPr>
          <w:p>
            <w:pPr>
              <w:spacing w:before="0" w:after="0" w:line="276" w:lineRule="auto"/>
            </w:pPr>
            <w:r/>
            <w:r>
              <w:rPr>
                <w:rFonts w:ascii="Calibri" w:hAnsi="Calibri"/>
                <w:b w:val="0"/>
                <w:color w:val="0B2545"/>
                <w:sz w:val="16"/>
              </w:rPr>
              <w:t>California DOJ CCPA resources</w:t>
            </w:r>
          </w:p>
        </w:tc>
        <w:tc>
          <w:tcPr>
            <w:tcW w:type="dxa" w:w="6510"/>
          </w:tcPr>
          <w:p>
            <w:pPr>
              <w:spacing w:before="0" w:after="0" w:line="276" w:lineRule="auto"/>
            </w:pPr>
            <w:r/>
            <w:r>
              <w:rPr>
                <w:rFonts w:ascii="Calibri" w:hAnsi="Calibri"/>
                <w:b w:val="0"/>
                <w:color w:val="0B2545"/>
                <w:sz w:val="16"/>
              </w:rPr>
              <w:t>Consumer privacy rights and privacy-policy expectations, especially access/deletion/correction/opt-out disclosures where applicable.</w:t>
            </w:r>
          </w:p>
        </w:tc>
      </w:tr>
      <w:tr>
        <w:tc>
          <w:tcPr>
            <w:tcW w:type="dxa" w:w="2850"/>
          </w:tcPr>
          <w:p>
            <w:pPr>
              <w:spacing w:before="0" w:after="0" w:line="276" w:lineRule="auto"/>
            </w:pPr>
            <w:r/>
            <w:r>
              <w:rPr>
                <w:rFonts w:ascii="Calibri" w:hAnsi="Calibri"/>
                <w:b w:val="0"/>
                <w:color w:val="0B2545"/>
                <w:sz w:val="16"/>
              </w:rPr>
              <w:t>TSA What Can I Bring / Travel Tips</w:t>
            </w:r>
          </w:p>
        </w:tc>
        <w:tc>
          <w:tcPr>
            <w:tcW w:type="dxa" w:w="6510"/>
          </w:tcPr>
          <w:p>
            <w:pPr>
              <w:spacing w:before="0" w:after="0" w:line="276" w:lineRule="auto"/>
            </w:pPr>
            <w:r/>
            <w:r>
              <w:rPr>
                <w:rFonts w:ascii="Calibri" w:hAnsi="Calibri"/>
                <w:b w:val="0"/>
                <w:color w:val="0B2545"/>
                <w:sz w:val="16"/>
              </w:rPr>
              <w:t>TSA/airline rules and final screening authority affect what Travelyt can accept.</w:t>
            </w:r>
          </w:p>
        </w:tc>
      </w:tr>
      <w:tr>
        <w:tc>
          <w:tcPr>
            <w:tcW w:type="dxa" w:w="2850"/>
          </w:tcPr>
          <w:p>
            <w:pPr>
              <w:spacing w:before="0" w:after="0" w:line="276" w:lineRule="auto"/>
            </w:pPr>
            <w:r/>
            <w:r>
              <w:rPr>
                <w:rFonts w:ascii="Calibri" w:hAnsi="Calibri"/>
                <w:b w:val="0"/>
                <w:color w:val="0B2545"/>
                <w:sz w:val="16"/>
              </w:rPr>
              <w:t>FAA PackSafe / lithium battery guidance</w:t>
            </w:r>
          </w:p>
        </w:tc>
        <w:tc>
          <w:tcPr>
            <w:tcW w:type="dxa" w:w="6510"/>
          </w:tcPr>
          <w:p>
            <w:pPr>
              <w:spacing w:before="0" w:after="0" w:line="276" w:lineRule="auto"/>
            </w:pPr>
            <w:r/>
            <w:r>
              <w:rPr>
                <w:rFonts w:ascii="Calibri" w:hAnsi="Calibri"/>
                <w:b w:val="0"/>
                <w:color w:val="0B2545"/>
                <w:sz w:val="16"/>
              </w:rPr>
              <w:t>Hazardous materials and battery rules affect checked baggage/cargo service.</w:t>
            </w:r>
          </w:p>
        </w:tc>
      </w:tr>
    </w:tbl>
    <w:p>
      <w:pPr>
        <w:spacing w:after="80"/>
      </w:pPr>
    </w:p>
    <w:p>
      <w:pPr>
        <w:spacing w:before="0" w:after="80" w:line="276" w:lineRule="auto"/>
      </w:pPr>
      <w:r>
        <w:rPr>
          <w:rFonts w:ascii="Calibri" w:hAnsi="Calibri"/>
          <w:color w:val="5A6370"/>
          <w:sz w:val="18"/>
        </w:rPr>
        <w:t>Reference URLs: https://travelyt.us/privacy | https://travelyt.us/terms | https://travelyt.us/prohibited-items | https://developer.apple.com/app-store/app-privacy-details/ | https://www.ftc.gov/business-guidance/resources/marketing-your-mobile-app-get-it-right-start | https://oag.ca.gov/privacy/ccpa | https://www.tsa.gov/travel/security-screening/whatcanibring/all | https://www.faa.gov/hazmat/packsafe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A6370"/>
        <w:sz w:val="17"/>
      </w:rPr>
      <w:t>Internal launch SOP - handle as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color w:val="5A6370"/>
        <w:sz w:val="17"/>
      </w:rPr>
      <w:t>Travelyt Launch Policy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color w:val="0B25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color w:val="0B25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Travelyt Launch Policy Packet</dc:title>
  <dc:subject>Operational policy packet for service, privacy, custody, shipping, claims, driver/admin workflow, booking control, and launch testing</dc:subject>
  <dc:creator>Travelyt</dc:creator>
  <cp:keywords/>
  <dc:description>generated by python-docx</dc:description>
  <cp:lastModifiedBy/>
  <cp:revision>1</cp:revision>
  <dcterms:created xsi:type="dcterms:W3CDTF">2013-12-23T23:15:00Z</dcterms:created>
  <dcterms:modified xsi:type="dcterms:W3CDTF">2013-12-23T23:15:00Z</dcterms:modified>
  <cp:category/>
</cp:coreProperties>
</file>