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Neurobit Optima 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Specyfikacja przypadku użycia: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ciągłości obwodu / impedancji elektrodowej</w:t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sz w:val="36"/>
          <w:szCs w:val="36"/>
        </w:rPr>
      </w:pPr>
      <w:bookmarkStart w:colFirst="0" w:colLast="0" w:name="_aoa91mcrpf0" w:id="0"/>
      <w:bookmarkEnd w:id="0"/>
      <w:r w:rsidDel="00000000" w:rsidR="00000000" w:rsidRPr="00000000">
        <w:rPr>
          <w:sz w:val="36"/>
          <w:szCs w:val="36"/>
          <w:rtl w:val="0"/>
        </w:rPr>
        <w:t xml:space="preserve">Wersja &lt;1.0&gt;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sz w:val="38"/>
          <w:szCs w:val="38"/>
          <w:rtl w:val="0"/>
        </w:rPr>
        <w:t xml:space="preserve">Spis treści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before="8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1. Projektowanie designu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before="6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1.1. Krótki opis</w:t>
        <w:tab/>
        <w:t xml:space="preserve">3</w:t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before="20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2. Ciągi zdarzeń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before="6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2.1. Podstawowy ciąg zdarzeń</w:t>
        <w:tab/>
        <w:t xml:space="preserve">3</w:t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before="60" w:line="240" w:lineRule="auto"/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2.2. Alternatywny ciąg zdarzeń</w:t>
        <w:tab/>
        <w:t xml:space="preserve">3</w:t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before="20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3. Wymagania specjalne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before="20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4. Wymagania wstępne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Warunki wyjścia</w:t>
        <w:tab/>
        <w:t xml:space="preserve">3</w:t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sesud6r5bril" w:id="1"/>
      <w:bookmarkEnd w:id="1"/>
      <w:r w:rsidDel="00000000" w:rsidR="00000000" w:rsidRPr="00000000">
        <w:rPr>
          <w:sz w:val="40"/>
          <w:szCs w:val="40"/>
          <w:rtl w:val="0"/>
        </w:rPr>
        <w:t xml:space="preserve">Specyfikacja przypadku użycia:</w:t>
        <w:br w:type="textWrapping"/>
        <w:t xml:space="preserve">Test ciągłości obwodu / impedancji elektrodowej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6nsvu4fqxcr" w:id="2"/>
      <w:bookmarkEnd w:id="2"/>
      <w:r w:rsidDel="00000000" w:rsidR="00000000" w:rsidRPr="00000000">
        <w:rPr>
          <w:rtl w:val="0"/>
        </w:rPr>
        <w:t xml:space="preserve">1. Test ciągłości obwodu / impedancji elektrodowej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758a449eqo5x" w:id="3"/>
      <w:bookmarkEnd w:id="3"/>
      <w:r w:rsidDel="00000000" w:rsidR="00000000" w:rsidRPr="00000000">
        <w:rPr>
          <w:rtl w:val="0"/>
        </w:rPr>
        <w:t xml:space="preserve">1.1. Krótki opis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opisuje proces testowania prawidłowego podłączenia urządzenia do komputera i działania 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bzg712j839z" w:id="4"/>
      <w:bookmarkEnd w:id="4"/>
      <w:r w:rsidDel="00000000" w:rsidR="00000000" w:rsidRPr="00000000">
        <w:rPr>
          <w:rtl w:val="0"/>
        </w:rPr>
        <w:t xml:space="preserve">2. Ciągi zdarzeń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cr8835v0gs6" w:id="5"/>
      <w:bookmarkEnd w:id="5"/>
      <w:r w:rsidDel="00000000" w:rsidR="00000000" w:rsidRPr="00000000">
        <w:rPr>
          <w:rtl w:val="0"/>
        </w:rPr>
        <w:t xml:space="preserve">2.1. Podstawowy ciąg zdarzeń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Przypadek użycia rozpoczyna się w momencie, gdy użytkownik zamierza przetestować, czy urządzenie zostało prawidłowo uruchomione i podłączone, a program prawidłowo zainstalowany, uruchomiony i skonfigurowany.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uruchamia urządzenie.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uruchamia program BioExplorer / BioEra.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podłącza elektrody do pacjenta.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konfiguruje kanały w programie zgodnie z instrukcją.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uruchamia test w zakładce Tests.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BioExplorer / BioEra powoduje wyświetlenie lampek na urządzeniu.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sprawdza lampki: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są zielone: test zakończony powodzeniem;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chociaż jedna jest czerwona: połączenia są niepoprawne.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phx6ra6tlzy" w:id="6"/>
      <w:bookmarkEnd w:id="6"/>
      <w:r w:rsidDel="00000000" w:rsidR="00000000" w:rsidRPr="00000000">
        <w:rPr>
          <w:rtl w:val="0"/>
        </w:rPr>
        <w:t xml:space="preserve">2.2. Alternatywny ciąg zdarzeń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2ikviqyvzn6" w:id="7"/>
      <w:bookmarkEnd w:id="7"/>
      <w:r w:rsidDel="00000000" w:rsidR="00000000" w:rsidRPr="00000000">
        <w:rPr>
          <w:rtl w:val="0"/>
        </w:rPr>
        <w:t xml:space="preserve">3. Wymagania specjalne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wswqdm1089m" w:id="8"/>
      <w:bookmarkEnd w:id="8"/>
      <w:r w:rsidDel="00000000" w:rsidR="00000000" w:rsidRPr="00000000">
        <w:rPr>
          <w:rtl w:val="0"/>
        </w:rPr>
        <w:t xml:space="preserve">4. Wymagania wstępne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Uruchomione urządzenie Neurobit Optima i program BioExplorer / BioEra.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ma9rbpb0y6s" w:id="9"/>
      <w:bookmarkEnd w:id="9"/>
      <w:r w:rsidDel="00000000" w:rsidR="00000000" w:rsidRPr="00000000">
        <w:rPr>
          <w:rtl w:val="0"/>
        </w:rPr>
        <w:t xml:space="preserve">5. Warunki wyjścia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Wyświetlone lampki na urządzeniu.</w:t>
      </w:r>
    </w:p>
    <w:p w:rsidR="00000000" w:rsidDel="00000000" w:rsidP="00000000" w:rsidRDefault="00000000" w:rsidRPr="00000000">
      <w:pPr>
        <w:pBdr/>
        <w:tabs>
          <w:tab w:val="right" w:pos="9025.511811023624"/>
        </w:tabs>
        <w:spacing w:after="80" w:before="20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