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Słownik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3dgha81d7l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hwdmb5dg1nz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gznizatosh1l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e6zokupbzxv">
            <w:r w:rsidDel="00000000" w:rsidR="00000000" w:rsidRPr="00000000">
              <w:rPr>
                <w:b w:val="1"/>
                <w:rtl w:val="0"/>
              </w:rPr>
              <w:t xml:space="preserve">1. Wprowadzenie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_te6zokupbzxv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200" w:line="240" w:lineRule="auto"/>
            <w:ind w:left="0" w:firstLine="0"/>
            <w:contextualSpacing w:val="0"/>
            <w:rPr/>
          </w:pPr>
          <w:hyperlink w:anchor="_ui3wmya6v2pt">
            <w:r w:rsidDel="00000000" w:rsidR="00000000" w:rsidRPr="00000000">
              <w:rPr>
                <w:b w:val="1"/>
                <w:rtl w:val="0"/>
              </w:rPr>
              <w:t xml:space="preserve">2. Definicje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_ui3wmya6v2pt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bo3o7rszmrw">
            <w:r w:rsidDel="00000000" w:rsidR="00000000" w:rsidRPr="00000000">
              <w:rPr>
                <w:rtl w:val="0"/>
              </w:rPr>
              <w:t xml:space="preserve">2.1. Urządzenie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_dbo3o7rszmrw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d0xrnsdybzt">
            <w:r w:rsidDel="00000000" w:rsidR="00000000" w:rsidRPr="00000000">
              <w:rPr>
                <w:rtl w:val="0"/>
              </w:rPr>
              <w:t xml:space="preserve">2.2. </w:t>
            </w:r>
          </w:hyperlink>
          <w:r w:rsidDel="00000000" w:rsidR="00000000" w:rsidRPr="00000000">
            <w:rPr>
              <w:rtl w:val="0"/>
            </w:rPr>
            <w:t xml:space="preserve">Użytkownik</w:t>
            <w:tab/>
          </w:r>
          <w:r w:rsidDel="00000000" w:rsidR="00000000" w:rsidRPr="00000000">
            <w:fldChar w:fldCharType="begin"/>
            <w:instrText xml:space="preserve"> PAGEREF _id0xrnsdybzt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baljlnrihfe">
            <w:r w:rsidDel="00000000" w:rsidR="00000000" w:rsidRPr="00000000">
              <w:rPr>
                <w:rtl w:val="0"/>
              </w:rPr>
              <w:t xml:space="preserve">2.3. </w:t>
            </w:r>
          </w:hyperlink>
          <w:r w:rsidDel="00000000" w:rsidR="00000000" w:rsidRPr="00000000">
            <w:rPr>
              <w:rtl w:val="0"/>
            </w:rPr>
            <w:t xml:space="preserve">Pacjent</w:t>
            <w:tab/>
          </w:r>
          <w:r w:rsidDel="00000000" w:rsidR="00000000" w:rsidRPr="00000000">
            <w:fldChar w:fldCharType="begin"/>
            <w:instrText xml:space="preserve"> PAGEREF _sbaljlnrihfe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7dhldyj9857">
            <w:r w:rsidDel="00000000" w:rsidR="00000000" w:rsidRPr="00000000">
              <w:rPr>
                <w:rtl w:val="0"/>
              </w:rPr>
              <w:t xml:space="preserve">2.4. Badanie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_t7dhldyj9857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4dp05p78qc0">
            <w:r w:rsidDel="00000000" w:rsidR="00000000" w:rsidRPr="00000000">
              <w:rPr>
                <w:rtl w:val="0"/>
              </w:rPr>
              <w:t xml:space="preserve">2.5.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_34dp05p78qc0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ztnspt7yjug">
            <w:r w:rsidDel="00000000" w:rsidR="00000000" w:rsidRPr="00000000">
              <w:rPr>
                <w:rtl w:val="0"/>
              </w:rPr>
              <w:t xml:space="preserve">2.6. Baza danych designów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_4ztnspt7yjug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8cpv8tr7whxs">
            <w:r w:rsidDel="00000000" w:rsidR="00000000" w:rsidRPr="00000000">
              <w:rPr>
                <w:rtl w:val="0"/>
              </w:rPr>
              <w:t xml:space="preserve">2.7. Żel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_8cpv8tr7whxs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mxf89xnvobr">
            <w:r w:rsidDel="00000000" w:rsidR="00000000" w:rsidRPr="00000000">
              <w:rPr>
                <w:rtl w:val="0"/>
              </w:rPr>
              <w:t xml:space="preserve">2.8. </w:t>
            </w:r>
          </w:hyperlink>
          <w:r w:rsidDel="00000000" w:rsidR="00000000" w:rsidRPr="00000000">
            <w:rPr>
              <w:rtl w:val="0"/>
            </w:rPr>
            <w:t xml:space="preserve">Elektrody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2.9. Impedancja elektrodowa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2.10. Ciągłość obwodu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2.11. Twórca designów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2.12. Pielęgniarka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2.13. Kanał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2.14. EKG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2.15. HRV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2.16. EMG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2.17. GSR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right" w:pos="905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2.18. TEMP</w:t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4tpop5qn3fh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wb85nx2k6wjm" w:id="4"/>
      <w:bookmarkEnd w:id="4"/>
      <w:r w:rsidDel="00000000" w:rsidR="00000000" w:rsidRPr="00000000">
        <w:rPr>
          <w:rtl w:val="0"/>
        </w:rPr>
        <w:t xml:space="preserve">Słownik Neurobit Optima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te6zokupbzxv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1. Wprowadzenie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Celem dokumentu jest definicja terminologii specyficznej dla dziedziny problemu, wyjaśnienie terminów, które mogą być nieznane dla czytelników modelu przypadków użycia czy innych dokumentów projektowych.  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ui3wmya6v2pt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2. Definicje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Słownik zawiera definicję dla kluczowych pojęć związanych z urządzeniem Neurobit Optima.</w:t>
      </w:r>
    </w:p>
    <w:p w:rsidR="00000000" w:rsidDel="00000000" w:rsidP="00000000" w:rsidRDefault="00000000" w:rsidRPr="00000000">
      <w:pPr>
        <w:pStyle w:val="Heading2"/>
        <w:pBdr/>
        <w:ind w:hanging="30.000000000000213"/>
        <w:contextualSpacing w:val="0"/>
        <w:rPr>
          <w:b w:val="1"/>
          <w:sz w:val="24"/>
          <w:szCs w:val="24"/>
        </w:rPr>
      </w:pPr>
      <w:bookmarkStart w:colFirst="0" w:colLast="0" w:name="_dbo3o7rszmrw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2.1. Urządzenie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Każde urządzenie typu Neurobit Optima.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sbaljlnrihfe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2.2. Użytkownik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Osoba zajmująca się podłączeniem urządzenia w odpowiedni do danego badania sposób.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id0xrnsdybzt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2.3. Pacjent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Osoba, na której za pomocą urządzenia zostaną wykonane pomiary lub znajdującą się pod opieką placówki medycznej, w której są wykonywane pomiary..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t7dhldyj9857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2.4. Badanie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Zbiór pomiarów, które zostaną wykonane w określonym czasie za pomocą urządzenia na pacjencie.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34dp05p78qc0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2.5. Design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Sposób wizualizacji danych pomiarowych.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4ztnspt7yjug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2.6. Baza danych designów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  <w:t xml:space="preserve">Zbiór dostępnych w programie designów.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8cpv8tr7whxs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2.7. Żel</w:t>
      </w:r>
    </w:p>
    <w:p w:rsidR="00000000" w:rsidDel="00000000" w:rsidP="00000000" w:rsidRDefault="00000000" w:rsidRPr="00000000">
      <w:pPr>
        <w:pBdr/>
        <w:ind w:left="0" w:firstLine="539.9999999999998"/>
        <w:contextualSpacing w:val="0"/>
        <w:rPr/>
      </w:pPr>
      <w:r w:rsidDel="00000000" w:rsidR="00000000" w:rsidRPr="00000000">
        <w:rPr>
          <w:rtl w:val="0"/>
        </w:rPr>
        <w:t xml:space="preserve">Substancja przewodząca umożliwiająca poprawne wykonanie pomiarów.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6k2iqed9abw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2.8. Elektrody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Przewodniki odbierające ładunek elektryczny od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vz8tgp3wlfnq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2.9. Impedancja elektrodowa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Iloraz napięcia elektrody i natężenia prądu przez nią płynącego.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fjci6le5ei9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2.10. Ciągłość obwodu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Brak występowania przerwań w obwodzie urządzenia.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4noqogrlfk1u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2.11. Twórca designów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Osoba tworząca nowe sposoby wizualizacji danych pomiarowych.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crnq4riytxjp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2.12. Pielęgniarka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Pracowniczka placówki medycznej używająca urządzenia do wykonania pomiarów u pacjenta placówki.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fbokr72w60co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2.13. Kanał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Droga, którą pokonuje sygnał z urządzenia do programu.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uktz446jhz6x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2.14. EKG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Profil kanału umożliwiający poprawny pomiar rytmu pracy serca.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idbb39o0w323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2.15. HRV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Profil kanału umożliwiający poprawny pomiar zmienności rytmu pracy serca.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nl9gebp5ycn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2.16. EMG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Profil kanału umożliwiający poprawny pomiar aktywności mięśni.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8w62ieieyr28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2.17. GSR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Profil kanału umożliwiający poprawny pomiar przewodności skóry.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4"/>
          <w:szCs w:val="24"/>
        </w:rPr>
      </w:pPr>
      <w:bookmarkStart w:colFirst="0" w:colLast="0" w:name="_ug165z14wxp8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2.18.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Profil kanału umożliwiający poprawny pomiar temperatury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40.0000000000002" w:top="1440.0000000000002" w:left="1410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pBdr/>
      <w:contextualSpacing w:val="0"/>
      <w:rPr>
        <w:sz w:val="24"/>
        <w:szCs w:val="24"/>
      </w:rPr>
    </w:pPr>
    <w:bookmarkStart w:colFirst="0" w:colLast="0" w:name="_7xfj5ckfuixd" w:id="25"/>
    <w:bookmarkEnd w:id="2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