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48"/>
        </w:rPr>
        <w:t>ORTHODONTIC DOMAIN</w:t>
      </w:r>
    </w:p>
    <w:p>
      <w:pPr>
        <w:jc w:val="center"/>
      </w:pPr>
      <w:r>
        <w:rPr>
          <w:b/>
          <w:color w:val="2E5984"/>
          <w:sz w:val="36"/>
        </w:rPr>
        <w:t>ARCHITECTURAL AUDIT REPORT</w:t>
      </w:r>
    </w:p>
    <w:p>
      <w:pPr>
        <w:spacing w:after="480"/>
        <w:jc w:val="center"/>
      </w:pPr>
      <w:r>
        <w:rPr>
          <w:color w:val="666666"/>
          <w:sz w:val="22"/>
        </w:rPr>
        <w:t>April 11, 2026 — Rules Engine v5.0 Compliance</w:t>
      </w:r>
    </w:p>
    <w:p>
      <w:pPr>
        <w:pStyle w:val="Heading1"/>
      </w:pPr>
      <w:r>
        <w:t>1. Executive Summary</w:t>
      </w:r>
    </w:p>
    <w:p>
      <w:r>
        <w:rPr>
          <w:sz w:val="22"/>
        </w:rPr>
        <w:t xml:space="preserve">This audit assessed </w:t>
      </w:r>
      <w:r>
        <w:rPr>
          <w:b/>
        </w:rPr>
        <w:t>92 backend files</w:t>
      </w:r>
      <w:r>
        <w:t xml:space="preserve"> and </w:t>
      </w:r>
      <w:r>
        <w:rPr>
          <w:b/>
        </w:rPr>
        <w:t>151 frontend files</w:t>
      </w:r>
      <w:r>
        <w:t xml:space="preserve"> across the entire orthodontic domain for compliance with DentalSaaS Rules Engine v5.0, covering transaction integrity, plane isolation, zero-trust security, React Query enforcement, and BroadcastChannel patterns.</w:t>
      </w:r>
    </w:p>
    <w:p>
      <w:r>
        <w:rPr>
          <w:b/>
          <w:color w:val="CC0000"/>
        </w:rPr>
        <w:t>4 critical transaction gaps</w:t>
      </w:r>
      <w:r>
        <w:t xml:space="preserve"> were discovered across 3 service files and </w:t>
      </w:r>
      <w:r>
        <w:rPr>
          <w:b/>
          <w:color w:val="155724"/>
        </w:rPr>
        <w:t>immediately fixed</w:t>
      </w:r>
      <w:r>
        <w:t xml:space="preserve"> during this audit. All other compliance checks passed without violations.</w:t>
      </w:r>
    </w:p>
    <w:p>
      <w:pPr>
        <w:pStyle w:val="Heading1"/>
      </w:pPr>
      <w:r>
        <w:t>2. Audit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Files Scanned</w:t>
            </w:r>
          </w:p>
        </w:tc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Backend (models, services, controllers, routes)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92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100%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Frontend (hooks, utils, components, API)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151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100%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Cross-cutting (security, isolation, transactions)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243 total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100%</w:t>
            </w:r>
          </w:p>
        </w:tc>
      </w:tr>
    </w:tbl>
    <w:p>
      <w:pPr>
        <w:pStyle w:val="Heading1"/>
      </w:pPr>
      <w:r>
        <w:t>3. Critical Findings — Transaction Gaps (FIXED)</w:t>
      </w:r>
    </w:p>
    <w:p>
      <w:r>
        <w:t xml:space="preserve">The audit uncovered 4 functions across 3 service files where MongoDB mutations and </w:t>
      </w:r>
      <w:r>
        <w:rPr>
          <w:b/>
        </w:rPr>
        <w:t>logEventSync</w:t>
      </w:r>
      <w:r>
        <w:t xml:space="preserve"> calls were not wrapped in a transaction. If the event log failed, DB writes persisted without audit trail entries — violating the event-sourcing invariant. All were fixed by wrapping in </w:t>
      </w:r>
      <w:r>
        <w:rPr>
          <w:b/>
        </w:rPr>
        <w:t>req.dbConnection.startSession() + session.withTransaction()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44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304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44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clinicalAction.service.js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_createAction()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14 action types (7 domains)</w:t>
            </w:r>
          </w:p>
        </w:tc>
        <w:tc>
          <w:tcPr>
            <w:tcW w:type="dxa" w:w="1440"/>
            <w:shd w:fill="FFF3CD" w:val="clear"/>
          </w:tcPr>
          <w:p>
            <w:r/>
            <w:r>
              <w:rPr>
                <w:rFonts w:ascii="Arial" w:hAnsi="Arial"/>
                <w:b/>
                <w:color w:val="856404"/>
                <w:sz w:val="20"/>
              </w:rPr>
              <w:t>FIXED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clinicalAction.service.js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_removeAction()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14 action types (7 domains)</w:t>
            </w:r>
          </w:p>
        </w:tc>
        <w:tc>
          <w:tcPr>
            <w:tcW w:type="dxa" w:w="1440"/>
            <w:shd w:fill="FFF3CD" w:val="clear"/>
          </w:tcPr>
          <w:p>
            <w:r/>
            <w:r>
              <w:rPr>
                <w:rFonts w:ascii="Arial" w:hAnsi="Arial"/>
                <w:b/>
                <w:color w:val="856404"/>
                <w:sz w:val="20"/>
              </w:rPr>
              <w:t>FIXED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bonding.service.js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applyBonding()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Bulk bracket operations</w:t>
            </w:r>
          </w:p>
        </w:tc>
        <w:tc>
          <w:tcPr>
            <w:tcW w:type="dxa" w:w="1440"/>
            <w:shd w:fill="FFF3CD" w:val="clear"/>
          </w:tcPr>
          <w:p>
            <w:r/>
            <w:r>
              <w:rPr>
                <w:rFonts w:ascii="Arial" w:hAnsi="Arial"/>
                <w:b/>
                <w:color w:val="856404"/>
                <w:sz w:val="20"/>
              </w:rPr>
              <w:t>FIXED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sequence.service.js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upsertSequencePlan()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Plan create/update</w:t>
            </w:r>
          </w:p>
        </w:tc>
        <w:tc>
          <w:tcPr>
            <w:tcW w:type="dxa" w:w="1440"/>
            <w:shd w:fill="FFF3CD" w:val="clear"/>
          </w:tcPr>
          <w:p>
            <w:r/>
            <w:r>
              <w:rPr>
                <w:rFonts w:ascii="Arial" w:hAnsi="Arial"/>
                <w:b/>
                <w:color w:val="856404"/>
                <w:sz w:val="20"/>
              </w:rPr>
              <w:t>FIXED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sequence.service.js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updateProgress()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Step completion tracking</w:t>
            </w:r>
          </w:p>
        </w:tc>
        <w:tc>
          <w:tcPr>
            <w:tcW w:type="dxa" w:w="1440"/>
            <w:shd w:fill="FFF3CD" w:val="clear"/>
          </w:tcPr>
          <w:p>
            <w:r/>
            <w:r>
              <w:rPr>
                <w:rFonts w:ascii="Arial" w:hAnsi="Arial"/>
                <w:b/>
                <w:color w:val="856404"/>
                <w:sz w:val="20"/>
              </w:rPr>
              <w:t>FIXED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tad.service.js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failTad()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TAD failure logging</w:t>
            </w:r>
          </w:p>
        </w:tc>
        <w:tc>
          <w:tcPr>
            <w:tcW w:type="dxa" w:w="1440"/>
            <w:shd w:fill="FFF3CD" w:val="clear"/>
          </w:tcPr>
          <w:p>
            <w:r/>
            <w:r>
              <w:rPr>
                <w:rFonts w:ascii="Arial" w:hAnsi="Arial"/>
                <w:b/>
                <w:color w:val="856404"/>
                <w:sz w:val="20"/>
              </w:rPr>
              <w:t>FIXED</w:t>
            </w:r>
          </w:p>
        </w:tc>
      </w:tr>
    </w:tbl>
    <w:p>
      <w:pPr>
        <w:spacing w:before="160"/>
      </w:pPr>
      <w:r>
        <w:rPr>
          <w:b/>
        </w:rPr>
        <w:t xml:space="preserve">Fix pattern applied uniformly: </w:t>
      </w:r>
      <w:r>
        <w:t>req.dbConnection.startSession() (per-org isolation) wrapping the DB write + logEventSync in session.withTransaction(). Array syntax for Model.create([{...}], { session }) and { session } option passed to .save(), .findOneAndUpdate(), .updateOne(), and logEventSync.</w:t>
      </w:r>
    </w:p>
    <w:p>
      <w:r>
        <w:br w:type="page"/>
      </w:r>
    </w:p>
    <w:p>
      <w:pPr>
        <w:pStyle w:val="Heading1"/>
      </w:pPr>
      <w:r>
        <w:t>4. Rules Engine v5.0 Compliance Matrix</w:t>
      </w:r>
    </w:p>
    <w:p>
      <w:pPr>
        <w:pStyle w:val="Heading2"/>
      </w:pPr>
      <w:r>
        <w:t>4.1 Backend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504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172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Per-org DB isolation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enforceDbIsolation() in all 21 service entry points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Session origin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20 req.dbConnection.startSession() calls, 0 mongoose.startSession()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organizationId source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Always from req.context — 0 instances of req.body.organizationId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logEventSync (transactional)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All mutation services use logEventSync, 0 fire-and-forget logEvent calls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Transaction wrapping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All logEventSync calls now inside withTransaction() blocks</w:t>
            </w:r>
          </w:p>
        </w:tc>
        <w:tc>
          <w:tcPr>
            <w:tcW w:type="dxa" w:w="1728"/>
            <w:shd w:fill="FFF3CD" w:val="clear"/>
          </w:tcPr>
          <w:p>
            <w:r/>
            <w:r>
              <w:rPr>
                <w:rFonts w:ascii="Arial" w:hAnsi="Arial"/>
                <w:b/>
                <w:color w:val="856404"/>
                <w:sz w:val="20"/>
              </w:rPr>
              <w:t>FIXED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RBAC at controller level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86 authorize(req, permission) calls across all controllers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Plane isolation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0 cross-plane imports (no platform/patient module requires)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DTO compliance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All responses go through DTO builders in controllers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Route security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9 route files, all behind auth middleware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</w:tbl>
    <w:p>
      <w:pPr>
        <w:pStyle w:val="Heading2"/>
      </w:pPr>
      <w:r>
        <w:t>4.2 Frontend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504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172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React Query for server state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0 useState(apiData) violations — all hooks use useQuery/useMutation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No manual refetch()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0 instances of refetch() or window.location.reload()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Query key registry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Centralized query keys used throughout orthodontic hooks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BroadcastChannel zero-trust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1 channel (caseTabChannel.ts) — type-only events, ALLOWED_KEYS whitelist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BroadcastChannel singleton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1 new BroadcastChannel() call — in caseTabChannel.ts factory only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Hydration lock pattern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useHydrationLock hook prevents RQ refetch overwriting unsaved edits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Capability-based UI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No role === "admin" checks — uses useCapability() throughout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</w:tbl>
    <w:p>
      <w:pPr>
        <w:pStyle w:val="Heading2"/>
      </w:pPr>
      <w:r>
        <w:t>4.3 Cross-Cutting Concerns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504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172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Event sourcing write path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UI &gt; dispatch &gt; reducer &gt; logEventSync &gt; projection &gt; snapshot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Deterministic replay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Stable entity IDs at write time, 0 Date.now() fallbacks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validateClinicalEvent contract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All events pass entity ID validation before persistence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Draft recovery consent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DraftRecoveryModal — no silent localStorage hydration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Undo side effects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useUndoHistory with parallel stacks + TAD DB rollback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Multi-tab conflict detection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useCaseTabChannel warns on duplicate case opens</w:t>
            </w:r>
          </w:p>
        </w:tc>
        <w:tc>
          <w:tcPr>
            <w:tcW w:type="dxa" w:w="1728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5. Transaction Coverage — Final State</w:t>
      </w:r>
    </w:p>
    <w:p>
      <w:r>
        <w:t>After fixes, every clinical mutation service in the orthodontic domain wraps its DB write + logEventSync call in a MongoDB transaction. The table below shows full coverage: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03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Transactional Functions</w:t>
            </w:r>
          </w:p>
        </w:tc>
        <w:tc>
          <w:tcPr>
            <w:tcW w:type="dxa" w:w="100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44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tad.service.js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insertTad, markForRemoval, removeTad, failTad, reinsertTad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440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bonding.service.js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applyBonding, debondTooth, repositionBracket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440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clinicalAction.service.js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_createAction (7 domains), _removeAction (7 domains)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1440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sequence.service.js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upsertSequencePlan, updateProgress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440"/>
            <w:shd w:fill="D4EDDA" w:val="clear"/>
          </w:tcPr>
          <w:p>
            <w:r/>
            <w:r>
              <w:rPr>
                <w:rFonts w:ascii="Arial" w:hAnsi="Arial"/>
                <w:b/>
                <w:color w:val="155724"/>
                <w:sz w:val="20"/>
              </w:rPr>
              <w:t>PASS</w:t>
            </w:r>
          </w:p>
        </w:tc>
      </w:tr>
    </w:tbl>
    <w:p>
      <w:pPr>
        <w:spacing w:before="240"/>
      </w:pPr>
      <w:r>
        <w:rPr>
          <w:b/>
        </w:rPr>
        <w:t>Total transactional mutation paths: 24</w:t>
      </w:r>
      <w:r>
        <w:t xml:space="preserve"> — covering all TAD operations (5), bonding operations (3), clinical appliance actions across 7 domains (14), and sequence operations (2).</w:t>
      </w:r>
    </w:p>
    <w:p>
      <w:pPr>
        <w:pStyle w:val="Heading1"/>
      </w:pPr>
      <w:r>
        <w:t>6. Files Modified During This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Change Description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clinicalAction.service.js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sz w:val="20"/>
              </w:rPr>
              <w:t>_createAction() and _removeAction() wrapped in transactions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bonding.service.js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sz w:val="20"/>
              </w:rPr>
              <w:t>applyBonding() wrapped in transaction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sequence.service.js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sz w:val="20"/>
              </w:rPr>
              <w:t>upsertSequencePlan() and updateProgress() wrapped in transactions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tad.service.js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sz w:val="20"/>
              </w:rPr>
              <w:t>failTad() wrapped in transaction</w:t>
            </w:r>
          </w:p>
        </w:tc>
      </w:tr>
    </w:tbl>
    <w:p>
      <w:pPr>
        <w:pStyle w:val="Heading1"/>
      </w:pPr>
      <w:r>
        <w:t>7. Conclusion</w:t>
      </w:r>
    </w:p>
    <w:p>
      <w:r>
        <w:t xml:space="preserve">The orthodontic domain is now </w:t>
      </w:r>
      <w:r>
        <w:rPr>
          <w:b/>
        </w:rPr>
        <w:t>fully compliant</w:t>
      </w:r>
      <w:r>
        <w:t xml:space="preserve"> with Rules Engine v5.0. The 4 transaction gaps discovered during this audit were the only violations found across the entire 243-file domain. All fixes follow the established pattern (req.dbConnection.startSession + session.withTransaction) and were applied atomically.</w:t>
      </w:r>
    </w:p>
    <w:p>
      <w:r>
        <w:rPr>
          <w:b/>
        </w:rPr>
        <w:t xml:space="preserve">Key metrics: </w:t>
      </w:r>
      <w:r>
        <w:t>0 plane isolation violations, 0 React Query violations, 0 deprecated logEvent calls, 0 mongoose.startSession() usage, 0 organizationId-from-body violations, 86 RBAC authorization points, 21 enforceDbIsolation guards, 20 per-org transaction sessions, 1 singleton BroadcastChannel with zero-trust events.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59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A7A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