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ind w:left="432"/>
      </w:pPr>
      <w:r>
        <w:rPr>
          <w:b/>
          <w:i/>
          <w:color w:val="4B5568"/>
        </w:rPr>
        <w:t>Update 8 September 2026 — the real logo.</w:t>
      </w:r>
      <w:r>
        <w:rPr>
          <w:i/>
          <w:color w:val="4B5568"/>
        </w:rPr>
        <w:t xml:space="preserve"> The founder supplied the Vytalix logo: a heart outline whose right-hand stroke becomes a circuit trace ending in a node, the wordmark "Vytalix" and the strapline "Technology for Life", in a single deep blue sampled at </w:t>
      </w:r>
      <w:r>
        <w:rPr>
          <w:b/>
          <w:i/>
          <w:color w:val="4B5568"/>
        </w:rPr>
        <w:t>#153892</w:t>
      </w:r>
      <w:r>
        <w:rPr>
          <w:i/>
          <w:color w:val="4B5568"/>
        </w:rPr>
        <w:t xml:space="preserve">. The palette below is updated accordingly: </w:t>
      </w:r>
      <w:r>
        <w:rPr>
          <w:b/>
          <w:i/>
          <w:color w:val="4B5568"/>
        </w:rPr>
        <w:t>Vytalix Blue #153892</w:t>
      </w:r>
      <w:r>
        <w:rPr>
          <w:i/>
          <w:color w:val="4B5568"/>
        </w:rPr>
        <w:t xml:space="preserve"> replaces "Vytal Teal" as the primary colour; Deep becomes #0F2354; Mist becomes #E9EDF8; the dark-surface highlight becomes #9DB8FF. Ember remains the single warm accent (≤5% of any surface). Logo files: </w:t>
      </w:r>
      <w:r>
        <w:rPr>
          <w:rFonts w:ascii="Consolas" w:hAnsi="Consolas"/>
          <w:i/>
          <w:color w:val="4B5568"/>
          <w:sz w:val="18"/>
        </w:rPr>
        <w:t>website/assets/img/vytalix-logo.png</w:t>
      </w:r>
      <w:r>
        <w:rPr>
          <w:i/>
          <w:color w:val="4B5568"/>
        </w:rPr>
        <w:t xml:space="preserve"> (full lock-up, transparent) and </w:t>
      </w:r>
      <w:r>
        <w:rPr>
          <w:rFonts w:ascii="Consolas" w:hAnsi="Consolas"/>
          <w:i/>
          <w:color w:val="4B5568"/>
          <w:sz w:val="18"/>
        </w:rPr>
        <w:t>vytalix-mark.png</w:t>
      </w:r>
      <w:r>
        <w:rPr>
          <w:i/>
          <w:color w:val="4B5568"/>
        </w:rPr>
        <w:t xml:space="preserve"> (heart mark). Do not redraw or recolour the logo; use the mark alone only below 120 px wide. Clear space = the height of the "V" on all sides.</w:t>
      </w:r>
    </w:p>
    <w:p>
      <w:pPr>
        <w:pStyle w:val="Title"/>
      </w:pPr>
      <w:r>
        <w:t>VYTALIX — Brand System</w:t>
      </w:r>
    </w:p>
    <w:p>
      <w:r>
        <w:rPr>
          <w:b/>
        </w:rPr>
        <w:t>Document 03 · Brand &amp; Web</w:t>
      </w:r>
      <w:r>
        <w:t xml:space="preserve"> · Version 0.1 (draft) · 7 September 2026</w:t>
      </w:r>
    </w:p>
    <w:p>
      <w:r>
        <w:t xml:space="preserve">Status: PROPOSED. Consistent with </w:t>
      </w:r>
      <w:r>
        <w:rPr>
          <w:rFonts w:ascii="Consolas" w:hAnsi="Consolas"/>
          <w:sz w:val="18"/>
        </w:rPr>
        <w:t>/FACTS_BASE.md</w:t>
      </w:r>
      <w:r>
        <w:t>. Nothing in this document is a claim of achievement; it is the system we will build to.</w:t>
      </w:r>
    </w:p>
    <w:p>
      <w:pPr>
        <w:ind w:left="432"/>
      </w:pPr>
      <w:r>
        <w:rPr>
          <w:i/>
          <w:color w:val="4B5568"/>
        </w:rPr>
        <w:t>Language rules apply to every asset produced from this system. No claimed clients, partners, NHS approval, clinical outcomes, testimonials, named team members, offices, phone numbers or awards until each is true and documented. MaternaLink is always "MaternaLink (in development)".</w:t>
      </w:r>
    </w:p>
    <w:p>
      <w:pPr>
        <w:pStyle w:val="Heading2"/>
      </w:pPr>
      <w:r>
        <w:t>0. Naming note (read before spending money on assets)</w:t>
      </w:r>
    </w:p>
    <w:p>
      <w:pPr>
        <w:pStyle w:val="ListBullet"/>
      </w:pPr>
      <w:r>
        <w:t xml:space="preserve">Trading name in this system: </w:t>
      </w:r>
      <w:r>
        <w:rPr>
          <w:b/>
        </w:rPr>
        <w:t>Vytalix</w:t>
      </w:r>
      <w:r>
        <w:t xml:space="preserve">, tagline </w:t>
      </w:r>
      <w:r>
        <w:rPr>
          <w:b/>
        </w:rPr>
        <w:t>Technology for Life</w:t>
      </w:r>
      <w:r>
        <w:t>. (FACTS_BASE A1)</w:t>
      </w:r>
    </w:p>
    <w:p>
      <w:pPr>
        <w:pStyle w:val="ListBullet"/>
      </w:pPr>
      <w:r>
        <w:t>The repository spelling "Vitalyx" is treated as a typo.</w:t>
      </w:r>
    </w:p>
    <w:p>
      <w:pPr>
        <w:pStyle w:val="ListBullet"/>
      </w:pPr>
      <w:r>
        <w:t xml:space="preserve">Clearance risk is real: VITALIX LTD (two UK companies), VITALX LTD, VYTAL(UK) LIMITED, Vytalyx Inc. (US health-tech) and Vytalize Health (US) all exist. </w:t>
      </w:r>
      <w:r>
        <w:rPr>
          <w:b/>
        </w:rPr>
        <w:t>TO VALIDATE:</w:t>
      </w:r>
      <w:r>
        <w:t xml:space="preserve"> Companies House name check, UK IPO trade-mark search (Class 9, 35, 41, 42, 44), domain availability. Do not commission signage, printed stationery or a registered trade mark until cleared.</w:t>
      </w:r>
    </w:p>
    <w:p>
      <w:pPr>
        <w:pStyle w:val="ListBullet"/>
      </w:pPr>
      <w:r>
        <w:t>Everything below is designed so that a name change would cost one find-and-replace and a new wordmark, not a re-brand: the symbol, palette, type and voice are independent of the letters.</w:t>
      </w:r>
    </w:p>
    <w:p>
      <w:pPr>
        <w:pStyle w:val="Heading2"/>
      </w:pPr>
      <w:r>
        <w:t>1. Positioning</w:t>
      </w:r>
    </w:p>
    <w:p>
      <w:r>
        <w:rPr>
          <w:b/>
        </w:rPr>
        <w:t>Category:</w:t>
      </w:r>
      <w:r>
        <w:t xml:space="preserve"> A UK health-technology group that combines advisory, consulting, product development and learning under one brand.</w:t>
      </w:r>
    </w:p>
    <w:p>
      <w:r>
        <w:rPr>
          <w:b/>
        </w:rPr>
        <w:t>Positioning statement (internal):</w:t>
      </w:r>
    </w:p>
    <w:p>
      <w:r>
        <w:t>For health organisations, founders and public bodies that need technology to work in real care settings, Vytalix is a health-technology group that brings strategic advice, hands-on delivery, product development and learning together — because the gap between a good idea and a safe, adopted product is closed by people who can do all four.</w:t>
      </w:r>
    </w:p>
    <w:p>
      <w:r>
        <w:rPr>
          <w:b/>
        </w:rPr>
        <w:t>What makes it distinct (true today):</w:t>
      </w:r>
    </w:p>
    <w:p>
      <w:pPr>
        <w:pStyle w:val="ListBullet"/>
      </w:pPr>
      <w:r>
        <w:t>Four connected pillars rather than a single consultancy or a single product. Advice informs delivery; delivery informs product; product informs learning.</w:t>
      </w:r>
    </w:p>
    <w:p>
      <w:pPr>
        <w:pStyle w:val="ListBullet"/>
      </w:pPr>
      <w:r>
        <w:t>Founder-led, pre-formation, honest about stage. Our credibility comes from rigour and candour, not from a claimed track record.</w:t>
      </w:r>
    </w:p>
    <w:p>
      <w:pPr>
        <w:pStyle w:val="ListBullet"/>
      </w:pPr>
      <w:r>
        <w:t>An explicit safety posture: MaternaLink v1 is positioned as non-diagnostic care-coordination and monitoring-support, with clinical AI held as a research track until validated (FACTS_BASE A4).</w:t>
      </w:r>
    </w:p>
    <w:p>
      <w:pPr>
        <w:pStyle w:val="ListBullet"/>
      </w:pPr>
      <w:r>
        <w:t>A dual focus: UK home market, with active interest in maternal health in Nigeria and one further African market (FACTS_BASE A2).</w:t>
      </w:r>
    </w:p>
    <w:p>
      <w:r>
        <w:rPr>
          <w:b/>
        </w:rPr>
        <w:t>Positioning we must NOT adopt:</w:t>
      </w:r>
      <w:r>
        <w:t xml:space="preserve"> "the AI that predicts maternal complications", "NHS partner", "award-winning", "trusted by".</w:t>
      </w:r>
    </w:p>
    <w:p>
      <w:pPr>
        <w:pStyle w:val="Heading2"/>
      </w:pPr>
      <w:r>
        <w:t>2. Brand promise</w:t>
      </w:r>
    </w:p>
    <w:p>
      <w:r>
        <w:rPr>
          <w:b/>
        </w:rPr>
        <w:t>Technology that earns its place in care.</w:t>
      </w:r>
    </w:p>
    <w:p>
      <w:r>
        <w:t>Everything we advise on, build or teach must be safe, adoptable and worth the attention of the people who use it.</w:t>
      </w:r>
    </w:p>
    <w:p>
      <w:pPr>
        <w:pStyle w:val="Heading2"/>
      </w:pPr>
      <w:r>
        <w:t>3. Brand personality</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Trait</w:t>
            </w:r>
          </w:p>
        </w:tc>
        <w:tc>
          <w:tcPr>
            <w:tcW w:type="dxa" w:w="3216"/>
          </w:tcPr>
          <w:p>
            <w:r>
              <w:rPr>
                <w:b/>
                <w:sz w:val="17"/>
              </w:rPr>
            </w:r>
            <w:r>
              <w:rPr>
                <w:b/>
                <w:sz w:val="17"/>
              </w:rPr>
              <w:t>What it looks like</w:t>
            </w:r>
          </w:p>
        </w:tc>
        <w:tc>
          <w:tcPr>
            <w:tcW w:type="dxa" w:w="3216"/>
          </w:tcPr>
          <w:p>
            <w:r>
              <w:rPr>
                <w:b/>
                <w:sz w:val="17"/>
              </w:rPr>
            </w:r>
            <w:r>
              <w:rPr>
                <w:b/>
                <w:sz w:val="17"/>
              </w:rPr>
              <w:t>What it never looks like</w:t>
            </w:r>
          </w:p>
        </w:tc>
      </w:tr>
      <w:tr>
        <w:tc>
          <w:tcPr>
            <w:tcW w:type="dxa" w:w="3216"/>
          </w:tcPr>
          <w:p>
            <w:r>
              <w:rPr>
                <w:b w:val="0"/>
                <w:sz w:val="17"/>
              </w:rPr>
            </w:r>
            <w:r>
              <w:rPr>
                <w:b w:val="0"/>
                <w:sz w:val="17"/>
              </w:rPr>
              <w:t>Intelligent</w:t>
            </w:r>
          </w:p>
        </w:tc>
        <w:tc>
          <w:tcPr>
            <w:tcW w:type="dxa" w:w="3216"/>
          </w:tcPr>
          <w:p>
            <w:r>
              <w:rPr>
                <w:b w:val="0"/>
                <w:sz w:val="17"/>
              </w:rPr>
            </w:r>
            <w:r>
              <w:rPr>
                <w:b w:val="0"/>
                <w:sz w:val="17"/>
              </w:rPr>
              <w:t>Precise language, evidence cited, trade-offs named</w:t>
            </w:r>
          </w:p>
        </w:tc>
        <w:tc>
          <w:tcPr>
            <w:tcW w:type="dxa" w:w="3216"/>
          </w:tcPr>
          <w:p>
            <w:r>
              <w:rPr>
                <w:b w:val="0"/>
                <w:sz w:val="17"/>
              </w:rPr>
            </w:r>
            <w:r>
              <w:rPr>
                <w:b w:val="0"/>
                <w:sz w:val="17"/>
              </w:rPr>
              <w:t>Jargon, buzzwords, unsupported superlatives</w:t>
            </w:r>
          </w:p>
        </w:tc>
      </w:tr>
      <w:tr>
        <w:tc>
          <w:tcPr>
            <w:tcW w:type="dxa" w:w="3216"/>
          </w:tcPr>
          <w:p>
            <w:r>
              <w:rPr>
                <w:b w:val="0"/>
                <w:sz w:val="17"/>
              </w:rPr>
            </w:r>
            <w:r>
              <w:rPr>
                <w:b w:val="0"/>
                <w:sz w:val="17"/>
              </w:rPr>
              <w:t>Human</w:t>
            </w:r>
          </w:p>
        </w:tc>
        <w:tc>
          <w:tcPr>
            <w:tcW w:type="dxa" w:w="3216"/>
          </w:tcPr>
          <w:p>
            <w:r>
              <w:rPr>
                <w:b w:val="0"/>
                <w:sz w:val="17"/>
              </w:rPr>
            </w:r>
            <w:r>
              <w:rPr>
                <w:b w:val="0"/>
                <w:sz w:val="17"/>
              </w:rPr>
              <w:t>Writes to a person; acknowledges the clinician, the mother, the manager</w:t>
            </w:r>
          </w:p>
        </w:tc>
        <w:tc>
          <w:tcPr>
            <w:tcW w:type="dxa" w:w="3216"/>
          </w:tcPr>
          <w:p>
            <w:r>
              <w:rPr>
                <w:b w:val="0"/>
                <w:sz w:val="17"/>
              </w:rPr>
            </w:r>
            <w:r>
              <w:rPr>
                <w:b w:val="0"/>
                <w:sz w:val="17"/>
              </w:rPr>
              <w:t>Stock photos of smiling doctors; "users" as an abstraction</w:t>
            </w:r>
          </w:p>
        </w:tc>
      </w:tr>
      <w:tr>
        <w:tc>
          <w:tcPr>
            <w:tcW w:type="dxa" w:w="3216"/>
          </w:tcPr>
          <w:p>
            <w:r>
              <w:rPr>
                <w:b w:val="0"/>
                <w:sz w:val="17"/>
              </w:rPr>
            </w:r>
            <w:r>
              <w:rPr>
                <w:b w:val="0"/>
                <w:sz w:val="17"/>
              </w:rPr>
              <w:t>Technological</w:t>
            </w:r>
          </w:p>
        </w:tc>
        <w:tc>
          <w:tcPr>
            <w:tcW w:type="dxa" w:w="3216"/>
          </w:tcPr>
          <w:p>
            <w:r>
              <w:rPr>
                <w:b w:val="0"/>
                <w:sz w:val="17"/>
              </w:rPr>
            </w:r>
            <w:r>
              <w:rPr>
                <w:b w:val="0"/>
                <w:sz w:val="17"/>
              </w:rPr>
              <w:t>Confident about systems, data, standards, engineering</w:t>
            </w:r>
          </w:p>
        </w:tc>
        <w:tc>
          <w:tcPr>
            <w:tcW w:type="dxa" w:w="3216"/>
          </w:tcPr>
          <w:p>
            <w:r>
              <w:rPr>
                <w:b w:val="0"/>
                <w:sz w:val="17"/>
              </w:rPr>
            </w:r>
            <w:r>
              <w:rPr>
                <w:b w:val="0"/>
                <w:sz w:val="17"/>
              </w:rPr>
              <w:t>Circuit-board clichés, glowing brains, "AI-powered everything"</w:t>
            </w:r>
          </w:p>
        </w:tc>
      </w:tr>
      <w:tr>
        <w:tc>
          <w:tcPr>
            <w:tcW w:type="dxa" w:w="3216"/>
          </w:tcPr>
          <w:p>
            <w:r>
              <w:rPr>
                <w:b w:val="0"/>
                <w:sz w:val="17"/>
              </w:rPr>
            </w:r>
            <w:r>
              <w:rPr>
                <w:b w:val="0"/>
                <w:sz w:val="17"/>
              </w:rPr>
              <w:t>Trustworthy</w:t>
            </w:r>
          </w:p>
        </w:tc>
        <w:tc>
          <w:tcPr>
            <w:tcW w:type="dxa" w:w="3216"/>
          </w:tcPr>
          <w:p>
            <w:r>
              <w:rPr>
                <w:b w:val="0"/>
                <w:sz w:val="17"/>
              </w:rPr>
            </w:r>
            <w:r>
              <w:rPr>
                <w:b w:val="0"/>
                <w:sz w:val="17"/>
              </w:rPr>
              <w:t>Says what it is and isn't; marks drafts as drafts</w:t>
            </w:r>
          </w:p>
        </w:tc>
        <w:tc>
          <w:tcPr>
            <w:tcW w:type="dxa" w:w="3216"/>
          </w:tcPr>
          <w:p>
            <w:r>
              <w:rPr>
                <w:b w:val="0"/>
                <w:sz w:val="17"/>
              </w:rPr>
            </w:r>
            <w:r>
              <w:rPr>
                <w:b w:val="0"/>
                <w:sz w:val="17"/>
              </w:rPr>
              <w:t>Overclaiming; vague "partners"</w:t>
            </w:r>
          </w:p>
        </w:tc>
      </w:tr>
      <w:tr>
        <w:tc>
          <w:tcPr>
            <w:tcW w:type="dxa" w:w="3216"/>
          </w:tcPr>
          <w:p>
            <w:r>
              <w:rPr>
                <w:b w:val="0"/>
                <w:sz w:val="17"/>
              </w:rPr>
            </w:r>
            <w:r>
              <w:rPr>
                <w:b w:val="0"/>
                <w:sz w:val="17"/>
              </w:rPr>
              <w:t>Premium</w:t>
            </w:r>
          </w:p>
        </w:tc>
        <w:tc>
          <w:tcPr>
            <w:tcW w:type="dxa" w:w="3216"/>
          </w:tcPr>
          <w:p>
            <w:r>
              <w:rPr>
                <w:b w:val="0"/>
                <w:sz w:val="17"/>
              </w:rPr>
            </w:r>
            <w:r>
              <w:rPr>
                <w:b w:val="0"/>
                <w:sz w:val="17"/>
              </w:rPr>
              <w:t>Restraint, whitespace, typographic care</w:t>
            </w:r>
          </w:p>
        </w:tc>
        <w:tc>
          <w:tcPr>
            <w:tcW w:type="dxa" w:w="3216"/>
          </w:tcPr>
          <w:p>
            <w:r>
              <w:rPr>
                <w:b w:val="0"/>
                <w:sz w:val="17"/>
              </w:rPr>
            </w:r>
            <w:r>
              <w:rPr>
                <w:b w:val="0"/>
                <w:sz w:val="17"/>
              </w:rPr>
              <w:t>Cheap templates, clip art, gradient sludge</w:t>
            </w:r>
          </w:p>
        </w:tc>
      </w:tr>
      <w:tr>
        <w:tc>
          <w:tcPr>
            <w:tcW w:type="dxa" w:w="3216"/>
          </w:tcPr>
          <w:p>
            <w:r>
              <w:rPr>
                <w:b w:val="0"/>
                <w:sz w:val="17"/>
              </w:rPr>
            </w:r>
            <w:r>
              <w:rPr>
                <w:b w:val="0"/>
                <w:sz w:val="17"/>
              </w:rPr>
              <w:t>Innovative</w:t>
            </w:r>
          </w:p>
        </w:tc>
        <w:tc>
          <w:tcPr>
            <w:tcW w:type="dxa" w:w="3216"/>
          </w:tcPr>
          <w:p>
            <w:r>
              <w:rPr>
                <w:b w:val="0"/>
                <w:sz w:val="17"/>
              </w:rPr>
            </w:r>
            <w:r>
              <w:rPr>
                <w:b w:val="0"/>
                <w:sz w:val="17"/>
              </w:rPr>
              <w:t>New combinations of proven things; thoughtful roadmap</w:t>
            </w:r>
          </w:p>
        </w:tc>
        <w:tc>
          <w:tcPr>
            <w:tcW w:type="dxa" w:w="3216"/>
          </w:tcPr>
          <w:p>
            <w:r>
              <w:rPr>
                <w:b w:val="0"/>
                <w:sz w:val="17"/>
              </w:rPr>
            </w:r>
            <w:r>
              <w:rPr>
                <w:b w:val="0"/>
                <w:sz w:val="17"/>
              </w:rPr>
              <w:t>Novelty for its own sake</w:t>
            </w:r>
          </w:p>
        </w:tc>
      </w:tr>
      <w:tr>
        <w:tc>
          <w:tcPr>
            <w:tcW w:type="dxa" w:w="3216"/>
          </w:tcPr>
          <w:p>
            <w:r>
              <w:rPr>
                <w:b w:val="0"/>
                <w:sz w:val="17"/>
              </w:rPr>
            </w:r>
            <w:r>
              <w:rPr>
                <w:b w:val="0"/>
                <w:sz w:val="17"/>
              </w:rPr>
              <w:t>Impact-driven</w:t>
            </w:r>
          </w:p>
        </w:tc>
        <w:tc>
          <w:tcPr>
            <w:tcW w:type="dxa" w:w="3216"/>
          </w:tcPr>
          <w:p>
            <w:r>
              <w:rPr>
                <w:b w:val="0"/>
                <w:sz w:val="17"/>
              </w:rPr>
            </w:r>
            <w:r>
              <w:rPr>
                <w:b w:val="0"/>
                <w:sz w:val="17"/>
              </w:rPr>
              <w:t>Names the problem (e.g. maternal inequity) plainly, commits to measuring</w:t>
            </w:r>
          </w:p>
        </w:tc>
        <w:tc>
          <w:tcPr>
            <w:tcW w:type="dxa" w:w="3216"/>
          </w:tcPr>
          <w:p>
            <w:r>
              <w:rPr>
                <w:b w:val="0"/>
                <w:sz w:val="17"/>
              </w:rPr>
            </w:r>
            <w:r>
              <w:rPr>
                <w:b w:val="0"/>
                <w:sz w:val="17"/>
              </w:rPr>
              <w:t>Charity-style pity imagery; virtue signalling</w:t>
            </w:r>
          </w:p>
        </w:tc>
      </w:tr>
    </w:tbl>
    <w:p/>
    <w:p>
      <w:pPr>
        <w:pStyle w:val="Heading2"/>
      </w:pPr>
      <w:r>
        <w:t>4. Tone of voice</w:t>
      </w:r>
    </w:p>
    <w:p>
      <w:r>
        <w:rPr>
          <w:b/>
        </w:rPr>
        <w:t>Principles:</w:t>
      </w:r>
      <w:r>
        <w:t xml:space="preserve"> clear before clever; specific before broad; honest about stage; warm but not chatty; British English.</w:t>
      </w:r>
    </w:p>
    <w:p>
      <w:r>
        <w:rPr>
          <w:b/>
        </w:rPr>
        <w:t>Do / Don't</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Do</w:t>
            </w:r>
          </w:p>
        </w:tc>
        <w:tc>
          <w:tcPr>
            <w:tcW w:type="dxa" w:w="4824"/>
          </w:tcPr>
          <w:p>
            <w:r>
              <w:rPr>
                <w:b/>
                <w:sz w:val="17"/>
              </w:rPr>
            </w:r>
            <w:r>
              <w:rPr>
                <w:b/>
                <w:sz w:val="17"/>
              </w:rPr>
              <w:t>Don't</w:t>
            </w:r>
          </w:p>
        </w:tc>
      </w:tr>
      <w:tr>
        <w:tc>
          <w:tcPr>
            <w:tcW w:type="dxa" w:w="4824"/>
          </w:tcPr>
          <w:p>
            <w:r>
              <w:rPr>
                <w:b w:val="0"/>
                <w:sz w:val="17"/>
              </w:rPr>
            </w:r>
            <w:r>
              <w:rPr>
                <w:b w:val="0"/>
                <w:sz w:val="17"/>
              </w:rPr>
              <w:t>"MaternaLink is in development. It is designed to support care coordination; it is not a diagnostic tool."</w:t>
            </w:r>
          </w:p>
        </w:tc>
        <w:tc>
          <w:tcPr>
            <w:tcW w:type="dxa" w:w="4824"/>
          </w:tcPr>
          <w:p>
            <w:r>
              <w:rPr>
                <w:b w:val="0"/>
                <w:sz w:val="17"/>
              </w:rPr>
            </w:r>
            <w:r>
              <w:rPr>
                <w:b w:val="0"/>
                <w:sz w:val="17"/>
              </w:rPr>
              <w:t>"MaternaLink predicts and prevents maternal complications."</w:t>
            </w:r>
          </w:p>
        </w:tc>
      </w:tr>
      <w:tr>
        <w:tc>
          <w:tcPr>
            <w:tcW w:type="dxa" w:w="4824"/>
          </w:tcPr>
          <w:p>
            <w:r>
              <w:rPr>
                <w:b w:val="0"/>
                <w:sz w:val="17"/>
              </w:rPr>
            </w:r>
            <w:r>
              <w:rPr>
                <w:b w:val="0"/>
                <w:sz w:val="17"/>
              </w:rPr>
              <w:t>"We are founder-led and pre-seed. Here is exactly what we can do for you today."</w:t>
            </w:r>
          </w:p>
        </w:tc>
        <w:tc>
          <w:tcPr>
            <w:tcW w:type="dxa" w:w="4824"/>
          </w:tcPr>
          <w:p>
            <w:r>
              <w:rPr>
                <w:b w:val="0"/>
                <w:sz w:val="17"/>
              </w:rPr>
            </w:r>
            <w:r>
              <w:rPr>
                <w:b w:val="0"/>
                <w:sz w:val="17"/>
              </w:rPr>
              <w:t>"Trusted by leading NHS trusts."</w:t>
            </w:r>
          </w:p>
        </w:tc>
      </w:tr>
      <w:tr>
        <w:tc>
          <w:tcPr>
            <w:tcW w:type="dxa" w:w="4824"/>
          </w:tcPr>
          <w:p>
            <w:r>
              <w:rPr>
                <w:b w:val="0"/>
                <w:sz w:val="17"/>
              </w:rPr>
            </w:r>
            <w:r>
              <w:rPr>
                <w:b w:val="0"/>
                <w:sz w:val="17"/>
              </w:rPr>
              <w:t>"We'll tell you if your idea should not be built."</w:t>
            </w:r>
          </w:p>
        </w:tc>
        <w:tc>
          <w:tcPr>
            <w:tcW w:type="dxa" w:w="4824"/>
          </w:tcPr>
          <w:p>
            <w:r>
              <w:rPr>
                <w:b w:val="0"/>
                <w:sz w:val="17"/>
              </w:rPr>
            </w:r>
            <w:r>
              <w:rPr>
                <w:b w:val="0"/>
                <w:sz w:val="17"/>
              </w:rPr>
              <w:t>"We turn every vision into reality."</w:t>
            </w:r>
          </w:p>
        </w:tc>
      </w:tr>
      <w:tr>
        <w:tc>
          <w:tcPr>
            <w:tcW w:type="dxa" w:w="4824"/>
          </w:tcPr>
          <w:p>
            <w:r>
              <w:rPr>
                <w:b w:val="0"/>
                <w:sz w:val="17"/>
              </w:rPr>
            </w:r>
            <w:r>
              <w:rPr>
                <w:b w:val="0"/>
                <w:sz w:val="17"/>
              </w:rPr>
              <w:t>"Accreditation is being explored; our courses are not yet accredited."</w:t>
            </w:r>
          </w:p>
        </w:tc>
        <w:tc>
          <w:tcPr>
            <w:tcW w:type="dxa" w:w="4824"/>
          </w:tcPr>
          <w:p>
            <w:r>
              <w:rPr>
                <w:b w:val="0"/>
                <w:sz w:val="17"/>
              </w:rPr>
            </w:r>
            <w:r>
              <w:rPr>
                <w:b w:val="0"/>
                <w:sz w:val="17"/>
              </w:rPr>
              <w:t>"CPD-certified courses."</w:t>
            </w:r>
          </w:p>
        </w:tc>
      </w:tr>
      <w:tr>
        <w:tc>
          <w:tcPr>
            <w:tcW w:type="dxa" w:w="4824"/>
          </w:tcPr>
          <w:p>
            <w:r>
              <w:rPr>
                <w:b w:val="0"/>
                <w:sz w:val="17"/>
              </w:rPr>
            </w:r>
            <w:r>
              <w:rPr>
                <w:b w:val="0"/>
                <w:sz w:val="17"/>
              </w:rPr>
              <w:t>"Register interest — we'll publish roles when we can fund them."</w:t>
            </w:r>
          </w:p>
        </w:tc>
        <w:tc>
          <w:tcPr>
            <w:tcW w:type="dxa" w:w="4824"/>
          </w:tcPr>
          <w:p>
            <w:r>
              <w:rPr>
                <w:b w:val="0"/>
                <w:sz w:val="17"/>
              </w:rPr>
            </w:r>
            <w:r>
              <w:rPr>
                <w:b w:val="0"/>
                <w:sz w:val="17"/>
              </w:rPr>
              <w:t>"Join our fast-growing team!"</w:t>
            </w:r>
          </w:p>
        </w:tc>
      </w:tr>
      <w:tr>
        <w:tc>
          <w:tcPr>
            <w:tcW w:type="dxa" w:w="4824"/>
          </w:tcPr>
          <w:p>
            <w:r>
              <w:rPr>
                <w:b w:val="0"/>
                <w:sz w:val="17"/>
              </w:rPr>
            </w:r>
            <w:r>
              <w:rPr>
                <w:b w:val="0"/>
                <w:sz w:val="17"/>
              </w:rPr>
              <w:t xml:space="preserve">"Built with clinicians" — </w:t>
            </w:r>
            <w:r>
              <w:rPr>
                <w:b/>
                <w:sz w:val="17"/>
              </w:rPr>
              <w:t>only once a clinician has actually co-designed it.</w:t>
            </w:r>
          </w:p>
        </w:tc>
        <w:tc>
          <w:tcPr>
            <w:tcW w:type="dxa" w:w="4824"/>
          </w:tcPr>
          <w:p>
            <w:r>
              <w:rPr>
                <w:b w:val="0"/>
                <w:sz w:val="17"/>
              </w:rPr>
            </w:r>
            <w:r>
              <w:rPr>
                <w:b w:val="0"/>
                <w:sz w:val="17"/>
              </w:rPr>
              <w:t>Claiming co-design before it happens.</w:t>
            </w:r>
          </w:p>
        </w:tc>
      </w:tr>
    </w:tbl>
    <w:p/>
    <w:p>
      <w:r>
        <w:rPr>
          <w:b/>
        </w:rPr>
        <w:t>Micro-rules</w:t>
      </w:r>
    </w:p>
    <w:p>
      <w:pPr>
        <w:pStyle w:val="ListBullet"/>
      </w:pPr>
      <w:r>
        <w:t>Sentences under 25 words where possible. One idea per paragraph.</w:t>
      </w:r>
    </w:p>
    <w:p>
      <w:pPr>
        <w:pStyle w:val="ListBullet"/>
      </w:pPr>
      <w:r>
        <w:t>Use "we" and "you". Avoid "the company" and passive constructions.</w:t>
      </w:r>
    </w:p>
    <w:p>
      <w:pPr>
        <w:pStyle w:val="ListBullet"/>
      </w:pPr>
      <w:r>
        <w:t>Numbers: cite the source or don't use the number. The MBRRACE-UK disparity statistic may be used only with the current report cited (FACTS_BASE §1).</w:t>
      </w:r>
    </w:p>
    <w:p>
      <w:pPr>
        <w:pStyle w:val="ListBullet"/>
      </w:pPr>
      <w:r>
        <w:t>Never write "revolutionary", "cutting-edge", "world-class", "seamless", "leverage" (verb), "solutions" as a filler noun (Health Solutions is a pillar name and is fine).</w:t>
      </w:r>
    </w:p>
    <w:p>
      <w:pPr>
        <w:pStyle w:val="ListBullet"/>
      </w:pPr>
      <w:r>
        <w:t xml:space="preserve">Mark placeholders in square brackets: </w:t>
      </w:r>
      <w:r>
        <w:rPr>
          <w:rFonts w:ascii="Consolas" w:hAnsi="Consolas"/>
          <w:sz w:val="18"/>
        </w:rPr>
        <w:t>[Registered office address — add after incorporation]</w:t>
      </w:r>
      <w:r>
        <w:t>.</w:t>
      </w:r>
    </w:p>
    <w:p>
      <w:pPr>
        <w:pStyle w:val="Heading2"/>
      </w:pPr>
      <w:r>
        <w:t>5. Messaging hierarchy</w:t>
      </w:r>
    </w:p>
    <w:p>
      <w:r>
        <w:rPr>
          <w:b/>
        </w:rPr>
        <w:t>Master message</w:t>
      </w:r>
    </w:p>
    <w:p>
      <w:r>
        <w:t>Vytalix — Technology for Life. A UK health-technology group that advises, builds, delivers and teaches, so that technology earns its place in care.</w:t>
      </w:r>
    </w:p>
    <w:p>
      <w:r>
        <w:rPr>
          <w:b/>
        </w:rPr>
        <w:t>Pillar messages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Pillar</w:t>
            </w:r>
          </w:p>
        </w:tc>
        <w:tc>
          <w:tcPr>
            <w:tcW w:type="dxa" w:w="2412"/>
          </w:tcPr>
          <w:p>
            <w:r>
              <w:rPr>
                <w:b/>
                <w:sz w:val="17"/>
              </w:rPr>
            </w:r>
            <w:r>
              <w:rPr>
                <w:b/>
                <w:sz w:val="17"/>
              </w:rPr>
              <w:t>Message</w:t>
            </w:r>
          </w:p>
        </w:tc>
        <w:tc>
          <w:tcPr>
            <w:tcW w:type="dxa" w:w="2412"/>
          </w:tcPr>
          <w:p>
            <w:r>
              <w:rPr>
                <w:b/>
                <w:sz w:val="17"/>
              </w:rPr>
            </w:r>
            <w:r>
              <w:rPr>
                <w:b/>
                <w:sz w:val="17"/>
              </w:rPr>
              <w:t>Proof points that are TRUE today</w:t>
            </w:r>
          </w:p>
        </w:tc>
        <w:tc>
          <w:tcPr>
            <w:tcW w:type="dxa" w:w="2412"/>
          </w:tcPr>
          <w:p>
            <w:r>
              <w:rPr>
                <w:b/>
                <w:sz w:val="17"/>
              </w:rPr>
            </w:r>
            <w:r>
              <w:rPr>
                <w:b/>
                <w:sz w:val="17"/>
              </w:rPr>
              <w:t>Proof points to unlock (say only when true)</w:t>
            </w:r>
          </w:p>
        </w:tc>
      </w:tr>
      <w:tr>
        <w:tc>
          <w:tcPr>
            <w:tcW w:type="dxa" w:w="2412"/>
          </w:tcPr>
          <w:p>
            <w:r>
              <w:rPr>
                <w:b w:val="0"/>
                <w:sz w:val="17"/>
              </w:rPr>
            </w:r>
            <w:r>
              <w:rPr>
                <w:b w:val="0"/>
                <w:sz w:val="17"/>
              </w:rPr>
              <w:t>Vytalix Advisory</w:t>
            </w:r>
          </w:p>
        </w:tc>
        <w:tc>
          <w:tcPr>
            <w:tcW w:type="dxa" w:w="2412"/>
          </w:tcPr>
          <w:p>
            <w:r>
              <w:rPr>
                <w:b w:val="0"/>
                <w:sz w:val="17"/>
              </w:rPr>
            </w:r>
            <w:r>
              <w:rPr>
                <w:b w:val="0"/>
                <w:sz w:val="17"/>
              </w:rPr>
              <w:t>Independent, senior advice on health-technology strategy, market entry, regulation and funding readiness.</w:t>
            </w:r>
          </w:p>
        </w:tc>
        <w:tc>
          <w:tcPr>
            <w:tcW w:type="dxa" w:w="2412"/>
          </w:tcPr>
          <w:p>
            <w:r>
              <w:rPr>
                <w:b w:val="0"/>
                <w:sz w:val="17"/>
              </w:rPr>
            </w:r>
            <w:r>
              <w:rPr>
                <w:b w:val="0"/>
                <w:sz w:val="17"/>
              </w:rPr>
              <w:t>Founder-led; independent (no vendor commissions); pre-seed and candid about it; UK-domiciled</w:t>
            </w:r>
          </w:p>
        </w:tc>
        <w:tc>
          <w:tcPr>
            <w:tcW w:type="dxa" w:w="2412"/>
          </w:tcPr>
          <w:p>
            <w:r>
              <w:rPr>
                <w:b w:val="0"/>
                <w:sz w:val="17"/>
              </w:rPr>
            </w:r>
            <w:r>
              <w:rPr>
                <w:b w:val="0"/>
                <w:sz w:val="17"/>
              </w:rPr>
              <w:t>"Advised N organisations"; named advisers</w:t>
            </w:r>
          </w:p>
        </w:tc>
      </w:tr>
      <w:tr>
        <w:tc>
          <w:tcPr>
            <w:tcW w:type="dxa" w:w="2412"/>
          </w:tcPr>
          <w:p>
            <w:r>
              <w:rPr>
                <w:b w:val="0"/>
                <w:sz w:val="17"/>
              </w:rPr>
            </w:r>
            <w:r>
              <w:rPr>
                <w:b w:val="0"/>
                <w:sz w:val="17"/>
              </w:rPr>
              <w:t>Vytalix Consulting</w:t>
            </w:r>
          </w:p>
        </w:tc>
        <w:tc>
          <w:tcPr>
            <w:tcW w:type="dxa" w:w="2412"/>
          </w:tcPr>
          <w:p>
            <w:r>
              <w:rPr>
                <w:b w:val="0"/>
                <w:sz w:val="17"/>
              </w:rPr>
            </w:r>
            <w:r>
              <w:rPr>
                <w:b w:val="0"/>
                <w:sz w:val="17"/>
              </w:rPr>
              <w:t>Hands-on delivery: discovery, service design, product and data work, implementation support.</w:t>
            </w:r>
          </w:p>
        </w:tc>
        <w:tc>
          <w:tcPr>
            <w:tcW w:type="dxa" w:w="2412"/>
          </w:tcPr>
          <w:p>
            <w:r>
              <w:rPr>
                <w:b w:val="0"/>
                <w:sz w:val="17"/>
              </w:rPr>
            </w:r>
            <w:r>
              <w:rPr>
                <w:b w:val="0"/>
                <w:sz w:val="17"/>
              </w:rPr>
              <w:t>Fixed-scope packages with defined deliverables; documented methods (this repository)</w:t>
            </w:r>
          </w:p>
        </w:tc>
        <w:tc>
          <w:tcPr>
            <w:tcW w:type="dxa" w:w="2412"/>
          </w:tcPr>
          <w:p>
            <w:r>
              <w:rPr>
                <w:b w:val="0"/>
                <w:sz w:val="17"/>
              </w:rPr>
            </w:r>
            <w:r>
              <w:rPr>
                <w:b w:val="0"/>
                <w:sz w:val="17"/>
              </w:rPr>
              <w:t>Case studies; client logos</w:t>
            </w:r>
          </w:p>
        </w:tc>
      </w:tr>
      <w:tr>
        <w:tc>
          <w:tcPr>
            <w:tcW w:type="dxa" w:w="2412"/>
          </w:tcPr>
          <w:p>
            <w:r>
              <w:rPr>
                <w:b w:val="0"/>
                <w:sz w:val="17"/>
              </w:rPr>
            </w:r>
            <w:r>
              <w:rPr>
                <w:b w:val="0"/>
                <w:sz w:val="17"/>
              </w:rPr>
              <w:t>Vytalix Health Solutions</w:t>
            </w:r>
          </w:p>
        </w:tc>
        <w:tc>
          <w:tcPr>
            <w:tcW w:type="dxa" w:w="2412"/>
          </w:tcPr>
          <w:p>
            <w:r>
              <w:rPr>
                <w:b w:val="0"/>
                <w:sz w:val="17"/>
              </w:rPr>
            </w:r>
            <w:r>
              <w:rPr>
                <w:b w:val="0"/>
                <w:sz w:val="17"/>
              </w:rPr>
              <w:t>Products designed for real care settings, starting with MaternaLink (in development).</w:t>
            </w:r>
          </w:p>
        </w:tc>
        <w:tc>
          <w:tcPr>
            <w:tcW w:type="dxa" w:w="2412"/>
          </w:tcPr>
          <w:p>
            <w:r>
              <w:rPr>
                <w:b w:val="0"/>
                <w:sz w:val="17"/>
              </w:rPr>
            </w:r>
            <w:r>
              <w:rPr>
                <w:b w:val="0"/>
                <w:sz w:val="17"/>
              </w:rPr>
              <w:t>An early prototype exists; a safety-first, non-diagnostic v1 scope; a published roadmap with validation gates</w:t>
            </w:r>
          </w:p>
        </w:tc>
        <w:tc>
          <w:tcPr>
            <w:tcW w:type="dxa" w:w="2412"/>
          </w:tcPr>
          <w:p>
            <w:r>
              <w:rPr>
                <w:b w:val="0"/>
                <w:sz w:val="17"/>
              </w:rPr>
            </w:r>
            <w:r>
              <w:rPr>
                <w:b w:val="0"/>
                <w:sz w:val="17"/>
              </w:rPr>
              <w:t>"Built with clinicians"; pilot sites; ethics approval; clinical validation; regulatory status</w:t>
            </w:r>
          </w:p>
        </w:tc>
      </w:tr>
      <w:tr>
        <w:tc>
          <w:tcPr>
            <w:tcW w:type="dxa" w:w="2412"/>
          </w:tcPr>
          <w:p>
            <w:r>
              <w:rPr>
                <w:b w:val="0"/>
                <w:sz w:val="17"/>
              </w:rPr>
            </w:r>
            <w:r>
              <w:rPr>
                <w:b w:val="0"/>
                <w:sz w:val="17"/>
              </w:rPr>
              <w:t>Vytalix E-Learning</w:t>
            </w:r>
          </w:p>
        </w:tc>
        <w:tc>
          <w:tcPr>
            <w:tcW w:type="dxa" w:w="2412"/>
          </w:tcPr>
          <w:p>
            <w:r>
              <w:rPr>
                <w:b w:val="0"/>
                <w:sz w:val="17"/>
              </w:rPr>
            </w:r>
            <w:r>
              <w:rPr>
                <w:b w:val="0"/>
                <w:sz w:val="17"/>
              </w:rPr>
              <w:t>Practical learning for health teams and founders on digital health, data and safe AI.</w:t>
            </w:r>
          </w:p>
        </w:tc>
        <w:tc>
          <w:tcPr>
            <w:tcW w:type="dxa" w:w="2412"/>
          </w:tcPr>
          <w:p>
            <w:r>
              <w:rPr>
                <w:b w:val="0"/>
                <w:sz w:val="17"/>
              </w:rPr>
            </w:r>
            <w:r>
              <w:rPr>
                <w:b w:val="0"/>
                <w:sz w:val="17"/>
              </w:rPr>
              <w:t>Curriculum themes defined; formats defined</w:t>
            </w:r>
          </w:p>
        </w:tc>
        <w:tc>
          <w:tcPr>
            <w:tcW w:type="dxa" w:w="2412"/>
          </w:tcPr>
          <w:p>
            <w:r>
              <w:rPr>
                <w:b w:val="0"/>
                <w:sz w:val="17"/>
              </w:rPr>
            </w:r>
            <w:r>
              <w:rPr>
                <w:b w:val="0"/>
                <w:sz w:val="17"/>
              </w:rPr>
              <w:t>Accreditation; learner numbers; corporate clients</w:t>
            </w:r>
          </w:p>
        </w:tc>
      </w:tr>
    </w:tbl>
    <w:p/>
    <w:p>
      <w:r>
        <w:rPr>
          <w:b/>
        </w:rPr>
        <w:t>Supporting message on impact:</w:t>
      </w:r>
      <w:r>
        <w:t xml:space="preserve"> Our first product focus is maternal health, where outcomes are unequal and coordination fails too often. We aim to help teams coordinate care better — and we will measure whether we do.</w:t>
      </w:r>
    </w:p>
    <w:p>
      <w:pPr>
        <w:pStyle w:val="Heading2"/>
      </w:pPr>
      <w:r>
        <w:t>6. Taglines</w:t>
      </w:r>
    </w:p>
    <w:p>
      <w:pPr>
        <w:pStyle w:val="ListNumber"/>
      </w:pPr>
      <w:r>
        <w:rPr>
          <w:b/>
        </w:rPr>
        <w:t>Technology for Life</w:t>
      </w:r>
      <w:r>
        <w:t xml:space="preserve"> — the founder's line; broad, humane, ownable with consistent use.</w:t>
      </w:r>
    </w:p>
    <w:p>
      <w:pPr>
        <w:pStyle w:val="ListNumber"/>
      </w:pPr>
      <w:r>
        <w:t>Technology that earns its place in care.</w:t>
      </w:r>
    </w:p>
    <w:p>
      <w:pPr>
        <w:pStyle w:val="ListNumber"/>
      </w:pPr>
      <w:r>
        <w:t>Built for care, not for demos.</w:t>
      </w:r>
    </w:p>
    <w:p>
      <w:pPr>
        <w:pStyle w:val="ListNumber"/>
      </w:pPr>
      <w:r>
        <w:t>Advice. Delivery. Product. Learning. One group.</w:t>
      </w:r>
    </w:p>
    <w:p>
      <w:pPr>
        <w:pStyle w:val="ListNumber"/>
      </w:pPr>
      <w:r>
        <w:t>Health technology, done properly.</w:t>
      </w:r>
    </w:p>
    <w:p>
      <w:pPr>
        <w:pStyle w:val="ListNumber"/>
      </w:pPr>
      <w:r>
        <w:t>From good idea to safe, adopted product.</w:t>
      </w:r>
    </w:p>
    <w:p>
      <w:pPr>
        <w:pStyle w:val="ListNumber"/>
      </w:pPr>
      <w:r>
        <w:t>Where care meets code.</w:t>
      </w:r>
    </w:p>
    <w:p>
      <w:pPr>
        <w:pStyle w:val="ListNumber"/>
      </w:pPr>
      <w:r>
        <w:t>Serious about health. Serious about technology.</w:t>
      </w:r>
    </w:p>
    <w:p>
      <w:pPr>
        <w:pStyle w:val="ListNumber"/>
      </w:pPr>
      <w:r>
        <w:t>Technology with a duty of care.</w:t>
      </w:r>
    </w:p>
    <w:p>
      <w:pPr>
        <w:pStyle w:val="ListNumber"/>
      </w:pPr>
      <w:r>
        <w:t>Made for the people who make care work.</w:t>
      </w:r>
    </w:p>
    <w:p>
      <w:r>
        <w:rPr>
          <w:b/>
        </w:rPr>
        <w:t>Recommendation:</w:t>
      </w:r>
      <w:r>
        <w:t xml:space="preserve"> Keep </w:t>
      </w:r>
      <w:r>
        <w:rPr>
          <w:b/>
        </w:rPr>
        <w:t>"Technology for Life"</w:t>
      </w:r>
      <w:r>
        <w:t xml:space="preserve"> as the master tagline (it is already the brief and it is vision-scale). Use </w:t>
      </w:r>
      <w:r>
        <w:rPr>
          <w:b/>
        </w:rPr>
        <w:t>"Technology that earns its place in care"</w:t>
      </w:r>
      <w:r>
        <w:t xml:space="preserve"> as the descriptive sub-line in web hero, decks and proposals where "Technology for Life" alone is too abstract. Retire the others or use as section headings.</w:t>
      </w:r>
    </w:p>
    <w:p>
      <w:r>
        <w:t>TO VALIDATE: "Technology for Life" is a common phrase; check for conflicting trade-mark use in Class 42/44 before registering.</w:t>
      </w:r>
    </w:p>
    <w:p>
      <w:pPr>
        <w:pStyle w:val="Heading2"/>
      </w:pPr>
      <w:r>
        <w:t>7. Colour palette</w:t>
      </w:r>
    </w:p>
    <w:p>
      <w:r>
        <w:t>Warm neutrals + deep teal + a single warm accent. Deliberately not "hospital blue".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Token</w:t>
            </w:r>
          </w:p>
        </w:tc>
        <w:tc>
          <w:tcPr>
            <w:tcW w:type="dxa" w:w="2412"/>
          </w:tcPr>
          <w:p>
            <w:r>
              <w:rPr>
                <w:b/>
                <w:sz w:val="17"/>
              </w:rPr>
            </w:r>
            <w:r>
              <w:rPr>
                <w:b/>
                <w:sz w:val="17"/>
              </w:rPr>
              <w:t>Name</w:t>
            </w:r>
          </w:p>
        </w:tc>
        <w:tc>
          <w:tcPr>
            <w:tcW w:type="dxa" w:w="2412"/>
          </w:tcPr>
          <w:p>
            <w:r>
              <w:rPr>
                <w:b/>
                <w:sz w:val="17"/>
              </w:rPr>
            </w:r>
            <w:r>
              <w:rPr>
                <w:b/>
                <w:sz w:val="17"/>
              </w:rPr>
              <w:t>Hex</w:t>
            </w:r>
          </w:p>
        </w:tc>
        <w:tc>
          <w:tcPr>
            <w:tcW w:type="dxa" w:w="2412"/>
          </w:tcPr>
          <w:p>
            <w:r>
              <w:rPr>
                <w:b/>
                <w:sz w:val="17"/>
              </w:rPr>
            </w:r>
            <w:r>
              <w:rPr>
                <w:b/>
                <w:sz w:val="17"/>
              </w:rPr>
              <w:t>Role</w:t>
            </w:r>
          </w:p>
        </w:tc>
      </w:tr>
      <w:tr>
        <w:tc>
          <w:tcPr>
            <w:tcW w:type="dxa" w:w="2412"/>
          </w:tcPr>
          <w:p>
            <w:r>
              <w:rPr>
                <w:b w:val="0"/>
                <w:sz w:val="17"/>
              </w:rPr>
            </w:r>
            <w:r>
              <w:rPr>
                <w:rFonts w:ascii="Consolas" w:hAnsi="Consolas"/>
                <w:b w:val="0"/>
                <w:sz w:val="17"/>
              </w:rPr>
              <w:t>--ink</w:t>
            </w:r>
          </w:p>
        </w:tc>
        <w:tc>
          <w:tcPr>
            <w:tcW w:type="dxa" w:w="2412"/>
          </w:tcPr>
          <w:p>
            <w:r>
              <w:rPr>
                <w:b w:val="0"/>
                <w:sz w:val="17"/>
              </w:rPr>
            </w:r>
            <w:r>
              <w:rPr>
                <w:b w:val="0"/>
                <w:sz w:val="17"/>
              </w:rPr>
              <w:t>Ink</w:t>
            </w:r>
          </w:p>
        </w:tc>
        <w:tc>
          <w:tcPr>
            <w:tcW w:type="dxa" w:w="2412"/>
          </w:tcPr>
          <w:p>
            <w:r>
              <w:rPr>
                <w:b w:val="0"/>
                <w:sz w:val="17"/>
              </w:rPr>
            </w:r>
            <w:r>
              <w:rPr>
                <w:rFonts w:ascii="Consolas" w:hAnsi="Consolas"/>
                <w:b w:val="0"/>
                <w:sz w:val="17"/>
              </w:rPr>
              <w:t>#0F2233</w:t>
            </w:r>
          </w:p>
        </w:tc>
        <w:tc>
          <w:tcPr>
            <w:tcW w:type="dxa" w:w="2412"/>
          </w:tcPr>
          <w:p>
            <w:r>
              <w:rPr>
                <w:b w:val="0"/>
                <w:sz w:val="17"/>
              </w:rPr>
            </w:r>
            <w:r>
              <w:rPr>
                <w:b w:val="0"/>
                <w:sz w:val="17"/>
              </w:rPr>
              <w:t>Primary text; dark surfaces</w:t>
            </w:r>
          </w:p>
        </w:tc>
      </w:tr>
      <w:tr>
        <w:tc>
          <w:tcPr>
            <w:tcW w:type="dxa" w:w="2412"/>
          </w:tcPr>
          <w:p>
            <w:r>
              <w:rPr>
                <w:b w:val="0"/>
                <w:sz w:val="17"/>
              </w:rPr>
            </w:r>
            <w:r>
              <w:rPr>
                <w:rFonts w:ascii="Consolas" w:hAnsi="Consolas"/>
                <w:b w:val="0"/>
                <w:sz w:val="17"/>
              </w:rPr>
              <w:t>--deep</w:t>
            </w:r>
          </w:p>
        </w:tc>
        <w:tc>
          <w:tcPr>
            <w:tcW w:type="dxa" w:w="2412"/>
          </w:tcPr>
          <w:p>
            <w:r>
              <w:rPr>
                <w:b w:val="0"/>
                <w:sz w:val="17"/>
              </w:rPr>
            </w:r>
            <w:r>
              <w:rPr>
                <w:b w:val="0"/>
                <w:sz w:val="17"/>
              </w:rPr>
              <w:t>Deep</w:t>
            </w:r>
          </w:p>
        </w:tc>
        <w:tc>
          <w:tcPr>
            <w:tcW w:type="dxa" w:w="2412"/>
          </w:tcPr>
          <w:p>
            <w:r>
              <w:rPr>
                <w:b w:val="0"/>
                <w:sz w:val="17"/>
              </w:rPr>
            </w:r>
            <w:r>
              <w:rPr>
                <w:rFonts w:ascii="Consolas" w:hAnsi="Consolas"/>
                <w:b w:val="0"/>
                <w:sz w:val="17"/>
              </w:rPr>
              <w:t>#0F2354</w:t>
            </w:r>
          </w:p>
        </w:tc>
        <w:tc>
          <w:tcPr>
            <w:tcW w:type="dxa" w:w="2412"/>
          </w:tcPr>
          <w:p>
            <w:r>
              <w:rPr>
                <w:b w:val="0"/>
                <w:sz w:val="17"/>
              </w:rPr>
            </w:r>
            <w:r>
              <w:rPr>
                <w:b w:val="0"/>
                <w:sz w:val="17"/>
              </w:rPr>
              <w:t>Secondary dark surface, hero panels</w:t>
            </w:r>
          </w:p>
        </w:tc>
      </w:tr>
      <w:tr>
        <w:tc>
          <w:tcPr>
            <w:tcW w:type="dxa" w:w="2412"/>
          </w:tcPr>
          <w:p>
            <w:r>
              <w:rPr>
                <w:b w:val="0"/>
                <w:sz w:val="17"/>
              </w:rPr>
            </w:r>
            <w:r>
              <w:rPr>
                <w:rFonts w:ascii="Consolas" w:hAnsi="Consolas"/>
                <w:b w:val="0"/>
                <w:sz w:val="17"/>
              </w:rPr>
              <w:t>--teal</w:t>
            </w:r>
            <w:r>
              <w:rPr>
                <w:b w:val="0"/>
                <w:sz w:val="17"/>
              </w:rPr>
              <w:t xml:space="preserve"> (token name kept for CSS stability)</w:t>
            </w:r>
          </w:p>
        </w:tc>
        <w:tc>
          <w:tcPr>
            <w:tcW w:type="dxa" w:w="2412"/>
          </w:tcPr>
          <w:p>
            <w:r>
              <w:rPr>
                <w:b w:val="0"/>
                <w:sz w:val="17"/>
              </w:rPr>
            </w:r>
            <w:r>
              <w:rPr>
                <w:b/>
                <w:sz w:val="17"/>
              </w:rPr>
              <w:t>Vytalix Blue</w:t>
            </w:r>
          </w:p>
        </w:tc>
        <w:tc>
          <w:tcPr>
            <w:tcW w:type="dxa" w:w="2412"/>
          </w:tcPr>
          <w:p>
            <w:r>
              <w:rPr>
                <w:b w:val="0"/>
                <w:sz w:val="17"/>
              </w:rPr>
            </w:r>
            <w:r>
              <w:rPr>
                <w:rFonts w:ascii="Consolas" w:hAnsi="Consolas"/>
                <w:b w:val="0"/>
                <w:sz w:val="17"/>
              </w:rPr>
              <w:t>#153892</w:t>
            </w:r>
          </w:p>
        </w:tc>
        <w:tc>
          <w:tcPr>
            <w:tcW w:type="dxa" w:w="2412"/>
          </w:tcPr>
          <w:p>
            <w:r>
              <w:rPr>
                <w:b w:val="0"/>
                <w:sz w:val="17"/>
              </w:rPr>
            </w:r>
            <w:r>
              <w:rPr>
                <w:b w:val="0"/>
                <w:sz w:val="17"/>
              </w:rPr>
              <w:t>Primary brand colour from the logo; links; primary buttons</w:t>
            </w:r>
          </w:p>
        </w:tc>
      </w:tr>
      <w:tr>
        <w:tc>
          <w:tcPr>
            <w:tcW w:type="dxa" w:w="2412"/>
          </w:tcPr>
          <w:p>
            <w:r>
              <w:rPr>
                <w:b w:val="0"/>
                <w:sz w:val="17"/>
              </w:rPr>
            </w:r>
            <w:r>
              <w:rPr>
                <w:rFonts w:ascii="Consolas" w:hAnsi="Consolas"/>
                <w:b w:val="0"/>
                <w:sz w:val="17"/>
              </w:rPr>
              <w:t>--teal-dark</w:t>
            </w:r>
          </w:p>
        </w:tc>
        <w:tc>
          <w:tcPr>
            <w:tcW w:type="dxa" w:w="2412"/>
          </w:tcPr>
          <w:p>
            <w:r>
              <w:rPr>
                <w:b w:val="0"/>
                <w:sz w:val="17"/>
              </w:rPr>
            </w:r>
            <w:r>
              <w:rPr>
                <w:b w:val="0"/>
                <w:sz w:val="17"/>
              </w:rPr>
              <w:t>Blue Dark</w:t>
            </w:r>
          </w:p>
        </w:tc>
        <w:tc>
          <w:tcPr>
            <w:tcW w:type="dxa" w:w="2412"/>
          </w:tcPr>
          <w:p>
            <w:r>
              <w:rPr>
                <w:b w:val="0"/>
                <w:sz w:val="17"/>
              </w:rPr>
            </w:r>
            <w:r>
              <w:rPr>
                <w:rFonts w:ascii="Consolas" w:hAnsi="Consolas"/>
                <w:b w:val="0"/>
                <w:sz w:val="17"/>
              </w:rPr>
              <w:t>#0E2A70</w:t>
            </w:r>
          </w:p>
        </w:tc>
        <w:tc>
          <w:tcPr>
            <w:tcW w:type="dxa" w:w="2412"/>
          </w:tcPr>
          <w:p>
            <w:r>
              <w:rPr>
                <w:b w:val="0"/>
                <w:sz w:val="17"/>
              </w:rPr>
            </w:r>
            <w:r>
              <w:rPr>
                <w:b w:val="0"/>
                <w:sz w:val="17"/>
              </w:rPr>
              <w:t>Hover/active states</w:t>
            </w:r>
          </w:p>
        </w:tc>
      </w:tr>
      <w:tr>
        <w:tc>
          <w:tcPr>
            <w:tcW w:type="dxa" w:w="2412"/>
          </w:tcPr>
          <w:p>
            <w:r>
              <w:rPr>
                <w:b w:val="0"/>
                <w:sz w:val="17"/>
              </w:rPr>
            </w:r>
            <w:r>
              <w:rPr>
                <w:rFonts w:ascii="Consolas" w:hAnsi="Consolas"/>
                <w:b w:val="0"/>
                <w:sz w:val="17"/>
              </w:rPr>
              <w:t>--ember</w:t>
            </w:r>
          </w:p>
        </w:tc>
        <w:tc>
          <w:tcPr>
            <w:tcW w:type="dxa" w:w="2412"/>
          </w:tcPr>
          <w:p>
            <w:r>
              <w:rPr>
                <w:b w:val="0"/>
                <w:sz w:val="17"/>
              </w:rPr>
            </w:r>
            <w:r>
              <w:rPr>
                <w:b w:val="0"/>
                <w:sz w:val="17"/>
              </w:rPr>
              <w:t>Ember</w:t>
            </w:r>
          </w:p>
        </w:tc>
        <w:tc>
          <w:tcPr>
            <w:tcW w:type="dxa" w:w="2412"/>
          </w:tcPr>
          <w:p>
            <w:r>
              <w:rPr>
                <w:b w:val="0"/>
                <w:sz w:val="17"/>
              </w:rPr>
            </w:r>
            <w:r>
              <w:rPr>
                <w:rFonts w:ascii="Consolas" w:hAnsi="Consolas"/>
                <w:b w:val="0"/>
                <w:sz w:val="17"/>
              </w:rPr>
              <w:t>#BF3E27</w:t>
            </w:r>
          </w:p>
        </w:tc>
        <w:tc>
          <w:tcPr>
            <w:tcW w:type="dxa" w:w="2412"/>
          </w:tcPr>
          <w:p>
            <w:r>
              <w:rPr>
                <w:b w:val="0"/>
                <w:sz w:val="17"/>
              </w:rPr>
            </w:r>
            <w:r>
              <w:rPr>
                <w:b w:val="0"/>
                <w:sz w:val="17"/>
              </w:rPr>
              <w:t>Single accent: the Y-node, key CTAs, emphasis. Use sparingly (≤5% of any surface).</w:t>
            </w:r>
          </w:p>
        </w:tc>
      </w:tr>
      <w:tr>
        <w:tc>
          <w:tcPr>
            <w:tcW w:type="dxa" w:w="2412"/>
          </w:tcPr>
          <w:p>
            <w:r>
              <w:rPr>
                <w:b w:val="0"/>
                <w:sz w:val="17"/>
              </w:rPr>
            </w:r>
            <w:r>
              <w:rPr>
                <w:rFonts w:ascii="Consolas" w:hAnsi="Consolas"/>
                <w:b w:val="0"/>
                <w:sz w:val="17"/>
              </w:rPr>
              <w:t>--mint</w:t>
            </w:r>
          </w:p>
        </w:tc>
        <w:tc>
          <w:tcPr>
            <w:tcW w:type="dxa" w:w="2412"/>
          </w:tcPr>
          <w:p>
            <w:r>
              <w:rPr>
                <w:b w:val="0"/>
                <w:sz w:val="17"/>
              </w:rPr>
            </w:r>
            <w:r>
              <w:rPr>
                <w:b w:val="0"/>
                <w:sz w:val="17"/>
              </w:rPr>
              <w:t>Signal Blue</w:t>
            </w:r>
          </w:p>
        </w:tc>
        <w:tc>
          <w:tcPr>
            <w:tcW w:type="dxa" w:w="2412"/>
          </w:tcPr>
          <w:p>
            <w:r>
              <w:rPr>
                <w:b w:val="0"/>
                <w:sz w:val="17"/>
              </w:rPr>
            </w:r>
            <w:r>
              <w:rPr>
                <w:rFonts w:ascii="Consolas" w:hAnsi="Consolas"/>
                <w:b w:val="0"/>
                <w:sz w:val="17"/>
              </w:rPr>
              <w:t>#9DB8FF</w:t>
            </w:r>
          </w:p>
        </w:tc>
        <w:tc>
          <w:tcPr>
            <w:tcW w:type="dxa" w:w="2412"/>
          </w:tcPr>
          <w:p>
            <w:r>
              <w:rPr>
                <w:b w:val="0"/>
                <w:sz w:val="17"/>
              </w:rPr>
            </w:r>
            <w:r>
              <w:rPr>
                <w:b w:val="0"/>
                <w:sz w:val="17"/>
              </w:rPr>
              <w:t>Highlights on dark surfaces; illustration accent. Never as text on light.</w:t>
            </w:r>
          </w:p>
        </w:tc>
      </w:tr>
      <w:tr>
        <w:tc>
          <w:tcPr>
            <w:tcW w:type="dxa" w:w="2412"/>
          </w:tcPr>
          <w:p>
            <w:r>
              <w:rPr>
                <w:b w:val="0"/>
                <w:sz w:val="17"/>
              </w:rPr>
            </w:r>
            <w:r>
              <w:rPr>
                <w:rFonts w:ascii="Consolas" w:hAnsi="Consolas"/>
                <w:b w:val="0"/>
                <w:sz w:val="17"/>
              </w:rPr>
              <w:t>--bone</w:t>
            </w:r>
          </w:p>
        </w:tc>
        <w:tc>
          <w:tcPr>
            <w:tcW w:type="dxa" w:w="2412"/>
          </w:tcPr>
          <w:p>
            <w:r>
              <w:rPr>
                <w:b w:val="0"/>
                <w:sz w:val="17"/>
              </w:rPr>
            </w:r>
            <w:r>
              <w:rPr>
                <w:b w:val="0"/>
                <w:sz w:val="17"/>
              </w:rPr>
              <w:t>Bone</w:t>
            </w:r>
          </w:p>
        </w:tc>
        <w:tc>
          <w:tcPr>
            <w:tcW w:type="dxa" w:w="2412"/>
          </w:tcPr>
          <w:p>
            <w:r>
              <w:rPr>
                <w:b w:val="0"/>
                <w:sz w:val="17"/>
              </w:rPr>
            </w:r>
            <w:r>
              <w:rPr>
                <w:rFonts w:ascii="Consolas" w:hAnsi="Consolas"/>
                <w:b w:val="0"/>
                <w:sz w:val="17"/>
              </w:rPr>
              <w:t>#F7F4EE</w:t>
            </w:r>
          </w:p>
        </w:tc>
        <w:tc>
          <w:tcPr>
            <w:tcW w:type="dxa" w:w="2412"/>
          </w:tcPr>
          <w:p>
            <w:r>
              <w:rPr>
                <w:b w:val="0"/>
                <w:sz w:val="17"/>
              </w:rPr>
            </w:r>
            <w:r>
              <w:rPr>
                <w:b w:val="0"/>
                <w:sz w:val="17"/>
              </w:rPr>
              <w:t>Page background</w:t>
            </w:r>
          </w:p>
        </w:tc>
      </w:tr>
      <w:tr>
        <w:tc>
          <w:tcPr>
            <w:tcW w:type="dxa" w:w="2412"/>
          </w:tcPr>
          <w:p>
            <w:r>
              <w:rPr>
                <w:b w:val="0"/>
                <w:sz w:val="17"/>
              </w:rPr>
            </w:r>
            <w:r>
              <w:rPr>
                <w:rFonts w:ascii="Consolas" w:hAnsi="Consolas"/>
                <w:b w:val="0"/>
                <w:sz w:val="17"/>
              </w:rPr>
              <w:t>--paper</w:t>
            </w:r>
          </w:p>
        </w:tc>
        <w:tc>
          <w:tcPr>
            <w:tcW w:type="dxa" w:w="2412"/>
          </w:tcPr>
          <w:p>
            <w:r>
              <w:rPr>
                <w:b w:val="0"/>
                <w:sz w:val="17"/>
              </w:rPr>
            </w:r>
            <w:r>
              <w:rPr>
                <w:b w:val="0"/>
                <w:sz w:val="17"/>
              </w:rPr>
              <w:t>Paper</w:t>
            </w:r>
          </w:p>
        </w:tc>
        <w:tc>
          <w:tcPr>
            <w:tcW w:type="dxa" w:w="2412"/>
          </w:tcPr>
          <w:p>
            <w:r>
              <w:rPr>
                <w:b w:val="0"/>
                <w:sz w:val="17"/>
              </w:rPr>
            </w:r>
            <w:r>
              <w:rPr>
                <w:rFonts w:ascii="Consolas" w:hAnsi="Consolas"/>
                <w:b w:val="0"/>
                <w:sz w:val="17"/>
              </w:rPr>
              <w:t>#FFFFFF</w:t>
            </w:r>
          </w:p>
        </w:tc>
        <w:tc>
          <w:tcPr>
            <w:tcW w:type="dxa" w:w="2412"/>
          </w:tcPr>
          <w:p>
            <w:r>
              <w:rPr>
                <w:b w:val="0"/>
                <w:sz w:val="17"/>
              </w:rPr>
            </w:r>
            <w:r>
              <w:rPr>
                <w:b w:val="0"/>
                <w:sz w:val="17"/>
              </w:rPr>
              <w:t>Cards, forms</w:t>
            </w:r>
          </w:p>
        </w:tc>
      </w:tr>
      <w:tr>
        <w:tc>
          <w:tcPr>
            <w:tcW w:type="dxa" w:w="2412"/>
          </w:tcPr>
          <w:p>
            <w:r>
              <w:rPr>
                <w:b w:val="0"/>
                <w:sz w:val="17"/>
              </w:rPr>
            </w:r>
            <w:r>
              <w:rPr>
                <w:rFonts w:ascii="Consolas" w:hAnsi="Consolas"/>
                <w:b w:val="0"/>
                <w:sz w:val="17"/>
              </w:rPr>
              <w:t>--mist</w:t>
            </w:r>
          </w:p>
        </w:tc>
        <w:tc>
          <w:tcPr>
            <w:tcW w:type="dxa" w:w="2412"/>
          </w:tcPr>
          <w:p>
            <w:r>
              <w:rPr>
                <w:b w:val="0"/>
                <w:sz w:val="17"/>
              </w:rPr>
            </w:r>
            <w:r>
              <w:rPr>
                <w:b w:val="0"/>
                <w:sz w:val="17"/>
              </w:rPr>
              <w:t>Mist</w:t>
            </w:r>
          </w:p>
        </w:tc>
        <w:tc>
          <w:tcPr>
            <w:tcW w:type="dxa" w:w="2412"/>
          </w:tcPr>
          <w:p>
            <w:r>
              <w:rPr>
                <w:b w:val="0"/>
                <w:sz w:val="17"/>
              </w:rPr>
            </w:r>
            <w:r>
              <w:rPr>
                <w:rFonts w:ascii="Consolas" w:hAnsi="Consolas"/>
                <w:b w:val="0"/>
                <w:sz w:val="17"/>
              </w:rPr>
              <w:t>#E9EDF8</w:t>
            </w:r>
          </w:p>
        </w:tc>
        <w:tc>
          <w:tcPr>
            <w:tcW w:type="dxa" w:w="2412"/>
          </w:tcPr>
          <w:p>
            <w:r>
              <w:rPr>
                <w:b w:val="0"/>
                <w:sz w:val="17"/>
              </w:rPr>
            </w:r>
            <w:r>
              <w:rPr>
                <w:b w:val="0"/>
                <w:sz w:val="17"/>
              </w:rPr>
              <w:t>Tinted section backgrounds</w:t>
            </w:r>
          </w:p>
        </w:tc>
      </w:tr>
      <w:tr>
        <w:tc>
          <w:tcPr>
            <w:tcW w:type="dxa" w:w="2412"/>
          </w:tcPr>
          <w:p>
            <w:r>
              <w:rPr>
                <w:b w:val="0"/>
                <w:sz w:val="17"/>
              </w:rPr>
            </w:r>
            <w:r>
              <w:rPr>
                <w:rFonts w:ascii="Consolas" w:hAnsi="Consolas"/>
                <w:b w:val="0"/>
                <w:sz w:val="17"/>
              </w:rPr>
              <w:t>--slate</w:t>
            </w:r>
          </w:p>
        </w:tc>
        <w:tc>
          <w:tcPr>
            <w:tcW w:type="dxa" w:w="2412"/>
          </w:tcPr>
          <w:p>
            <w:r>
              <w:rPr>
                <w:b w:val="0"/>
                <w:sz w:val="17"/>
              </w:rPr>
            </w:r>
            <w:r>
              <w:rPr>
                <w:b w:val="0"/>
                <w:sz w:val="17"/>
              </w:rPr>
              <w:t>Slate</w:t>
            </w:r>
          </w:p>
        </w:tc>
        <w:tc>
          <w:tcPr>
            <w:tcW w:type="dxa" w:w="2412"/>
          </w:tcPr>
          <w:p>
            <w:r>
              <w:rPr>
                <w:b w:val="0"/>
                <w:sz w:val="17"/>
              </w:rPr>
            </w:r>
            <w:r>
              <w:rPr>
                <w:rFonts w:ascii="Consolas" w:hAnsi="Consolas"/>
                <w:b w:val="0"/>
                <w:sz w:val="17"/>
              </w:rPr>
              <w:t>#46545F</w:t>
            </w:r>
          </w:p>
        </w:tc>
        <w:tc>
          <w:tcPr>
            <w:tcW w:type="dxa" w:w="2412"/>
          </w:tcPr>
          <w:p>
            <w:r>
              <w:rPr>
                <w:b w:val="0"/>
                <w:sz w:val="17"/>
              </w:rPr>
            </w:r>
            <w:r>
              <w:rPr>
                <w:b w:val="0"/>
                <w:sz w:val="17"/>
              </w:rPr>
              <w:t>Secondary text</w:t>
            </w:r>
          </w:p>
        </w:tc>
      </w:tr>
      <w:tr>
        <w:tc>
          <w:tcPr>
            <w:tcW w:type="dxa" w:w="2412"/>
          </w:tcPr>
          <w:p>
            <w:r>
              <w:rPr>
                <w:b w:val="0"/>
                <w:sz w:val="17"/>
              </w:rPr>
            </w:r>
            <w:r>
              <w:rPr>
                <w:rFonts w:ascii="Consolas" w:hAnsi="Consolas"/>
                <w:b w:val="0"/>
                <w:sz w:val="17"/>
              </w:rPr>
              <w:t>--line</w:t>
            </w:r>
          </w:p>
        </w:tc>
        <w:tc>
          <w:tcPr>
            <w:tcW w:type="dxa" w:w="2412"/>
          </w:tcPr>
          <w:p>
            <w:r>
              <w:rPr>
                <w:b w:val="0"/>
                <w:sz w:val="17"/>
              </w:rPr>
            </w:r>
            <w:r>
              <w:rPr>
                <w:b w:val="0"/>
                <w:sz w:val="17"/>
              </w:rPr>
              <w:t>Line</w:t>
            </w:r>
          </w:p>
        </w:tc>
        <w:tc>
          <w:tcPr>
            <w:tcW w:type="dxa" w:w="2412"/>
          </w:tcPr>
          <w:p>
            <w:r>
              <w:rPr>
                <w:b w:val="0"/>
                <w:sz w:val="17"/>
              </w:rPr>
            </w:r>
            <w:r>
              <w:rPr>
                <w:rFonts w:ascii="Consolas" w:hAnsi="Consolas"/>
                <w:b w:val="0"/>
                <w:sz w:val="17"/>
              </w:rPr>
              <w:t>#D9D4CA</w:t>
            </w:r>
          </w:p>
        </w:tc>
        <w:tc>
          <w:tcPr>
            <w:tcW w:type="dxa" w:w="2412"/>
          </w:tcPr>
          <w:p>
            <w:r>
              <w:rPr>
                <w:b w:val="0"/>
                <w:sz w:val="17"/>
              </w:rPr>
            </w:r>
            <w:r>
              <w:rPr>
                <w:b w:val="0"/>
                <w:sz w:val="17"/>
              </w:rPr>
              <w:t>Borders, dividers</w:t>
            </w:r>
          </w:p>
        </w:tc>
      </w:tr>
      <w:tr>
        <w:tc>
          <w:tcPr>
            <w:tcW w:type="dxa" w:w="2412"/>
          </w:tcPr>
          <w:p>
            <w:r>
              <w:rPr>
                <w:b w:val="0"/>
                <w:sz w:val="17"/>
              </w:rPr>
            </w:r>
            <w:r>
              <w:rPr>
                <w:rFonts w:ascii="Consolas" w:hAnsi="Consolas"/>
                <w:b w:val="0"/>
                <w:sz w:val="17"/>
              </w:rPr>
              <w:t>--night</w:t>
            </w:r>
          </w:p>
        </w:tc>
        <w:tc>
          <w:tcPr>
            <w:tcW w:type="dxa" w:w="2412"/>
          </w:tcPr>
          <w:p>
            <w:r>
              <w:rPr>
                <w:b w:val="0"/>
                <w:sz w:val="17"/>
              </w:rPr>
            </w:r>
            <w:r>
              <w:rPr>
                <w:b w:val="0"/>
                <w:sz w:val="17"/>
              </w:rPr>
              <w:t>Night</w:t>
            </w:r>
          </w:p>
        </w:tc>
        <w:tc>
          <w:tcPr>
            <w:tcW w:type="dxa" w:w="2412"/>
          </w:tcPr>
          <w:p>
            <w:r>
              <w:rPr>
                <w:b w:val="0"/>
                <w:sz w:val="17"/>
              </w:rPr>
            </w:r>
            <w:r>
              <w:rPr>
                <w:rFonts w:ascii="Consolas" w:hAnsi="Consolas"/>
                <w:b w:val="0"/>
                <w:sz w:val="17"/>
              </w:rPr>
              <w:t>#0A1A26</w:t>
            </w:r>
          </w:p>
        </w:tc>
        <w:tc>
          <w:tcPr>
            <w:tcW w:type="dxa" w:w="2412"/>
          </w:tcPr>
          <w:p>
            <w:r>
              <w:rPr>
                <w:b w:val="0"/>
                <w:sz w:val="17"/>
              </w:rPr>
            </w:r>
            <w:r>
              <w:rPr>
                <w:b w:val="0"/>
                <w:sz w:val="17"/>
              </w:rPr>
              <w:t>Dark-theme background</w:t>
            </w:r>
          </w:p>
        </w:tc>
      </w:tr>
      <w:tr>
        <w:tc>
          <w:tcPr>
            <w:tcW w:type="dxa" w:w="2412"/>
          </w:tcPr>
          <w:p>
            <w:r>
              <w:rPr>
                <w:b w:val="0"/>
                <w:sz w:val="17"/>
              </w:rPr>
            </w:r>
            <w:r>
              <w:rPr>
                <w:rFonts w:ascii="Consolas" w:hAnsi="Consolas"/>
                <w:b w:val="0"/>
                <w:sz w:val="17"/>
              </w:rPr>
              <w:t>--night-2</w:t>
            </w:r>
          </w:p>
        </w:tc>
        <w:tc>
          <w:tcPr>
            <w:tcW w:type="dxa" w:w="2412"/>
          </w:tcPr>
          <w:p>
            <w:r>
              <w:rPr>
                <w:b w:val="0"/>
                <w:sz w:val="17"/>
              </w:rPr>
            </w:r>
            <w:r>
              <w:rPr>
                <w:b w:val="0"/>
                <w:sz w:val="17"/>
              </w:rPr>
              <w:t>Night 2</w:t>
            </w:r>
          </w:p>
        </w:tc>
        <w:tc>
          <w:tcPr>
            <w:tcW w:type="dxa" w:w="2412"/>
          </w:tcPr>
          <w:p>
            <w:r>
              <w:rPr>
                <w:b w:val="0"/>
                <w:sz w:val="17"/>
              </w:rPr>
            </w:r>
            <w:r>
              <w:rPr>
                <w:rFonts w:ascii="Consolas" w:hAnsi="Consolas"/>
                <w:b w:val="0"/>
                <w:sz w:val="17"/>
              </w:rPr>
              <w:t>#12283A</w:t>
            </w:r>
          </w:p>
        </w:tc>
        <w:tc>
          <w:tcPr>
            <w:tcW w:type="dxa" w:w="2412"/>
          </w:tcPr>
          <w:p>
            <w:r>
              <w:rPr>
                <w:b w:val="0"/>
                <w:sz w:val="17"/>
              </w:rPr>
            </w:r>
            <w:r>
              <w:rPr>
                <w:b w:val="0"/>
                <w:sz w:val="17"/>
              </w:rPr>
              <w:t>Dark-theme card</w:t>
            </w:r>
          </w:p>
        </w:tc>
      </w:tr>
      <w:tr>
        <w:tc>
          <w:tcPr>
            <w:tcW w:type="dxa" w:w="2412"/>
          </w:tcPr>
          <w:p>
            <w:r>
              <w:rPr>
                <w:b w:val="0"/>
                <w:sz w:val="17"/>
              </w:rPr>
            </w:r>
            <w:r>
              <w:rPr>
                <w:rFonts w:ascii="Consolas" w:hAnsi="Consolas"/>
                <w:b w:val="0"/>
                <w:sz w:val="17"/>
              </w:rPr>
              <w:t>--night-text</w:t>
            </w:r>
          </w:p>
        </w:tc>
        <w:tc>
          <w:tcPr>
            <w:tcW w:type="dxa" w:w="2412"/>
          </w:tcPr>
          <w:p>
            <w:r>
              <w:rPr>
                <w:b w:val="0"/>
                <w:sz w:val="17"/>
              </w:rPr>
            </w:r>
            <w:r>
              <w:rPr>
                <w:b w:val="0"/>
                <w:sz w:val="17"/>
              </w:rPr>
              <w:t>Night Text</w:t>
            </w:r>
          </w:p>
        </w:tc>
        <w:tc>
          <w:tcPr>
            <w:tcW w:type="dxa" w:w="2412"/>
          </w:tcPr>
          <w:p>
            <w:r>
              <w:rPr>
                <w:b w:val="0"/>
                <w:sz w:val="17"/>
              </w:rPr>
            </w:r>
            <w:r>
              <w:rPr>
                <w:rFonts w:ascii="Consolas" w:hAnsi="Consolas"/>
                <w:b w:val="0"/>
                <w:sz w:val="17"/>
              </w:rPr>
              <w:t>#E9EEF1</w:t>
            </w:r>
          </w:p>
        </w:tc>
        <w:tc>
          <w:tcPr>
            <w:tcW w:type="dxa" w:w="2412"/>
          </w:tcPr>
          <w:p>
            <w:r>
              <w:rPr>
                <w:b w:val="0"/>
                <w:sz w:val="17"/>
              </w:rPr>
            </w:r>
            <w:r>
              <w:rPr>
                <w:b w:val="0"/>
                <w:sz w:val="17"/>
              </w:rPr>
              <w:t>Dark-theme body text</w:t>
            </w:r>
          </w:p>
        </w:tc>
      </w:tr>
      <w:tr>
        <w:tc>
          <w:tcPr>
            <w:tcW w:type="dxa" w:w="2412"/>
          </w:tcPr>
          <w:p>
            <w:r>
              <w:rPr>
                <w:b w:val="0"/>
                <w:sz w:val="17"/>
              </w:rPr>
            </w:r>
            <w:r>
              <w:rPr>
                <w:rFonts w:ascii="Consolas" w:hAnsi="Consolas"/>
                <w:b w:val="0"/>
                <w:sz w:val="17"/>
              </w:rPr>
              <w:t>--night-muted</w:t>
            </w:r>
          </w:p>
        </w:tc>
        <w:tc>
          <w:tcPr>
            <w:tcW w:type="dxa" w:w="2412"/>
          </w:tcPr>
          <w:p>
            <w:r>
              <w:rPr>
                <w:b w:val="0"/>
                <w:sz w:val="17"/>
              </w:rPr>
            </w:r>
            <w:r>
              <w:rPr>
                <w:b w:val="0"/>
                <w:sz w:val="17"/>
              </w:rPr>
              <w:t>Night Muted</w:t>
            </w:r>
          </w:p>
        </w:tc>
        <w:tc>
          <w:tcPr>
            <w:tcW w:type="dxa" w:w="2412"/>
          </w:tcPr>
          <w:p>
            <w:r>
              <w:rPr>
                <w:b w:val="0"/>
                <w:sz w:val="17"/>
              </w:rPr>
            </w:r>
            <w:r>
              <w:rPr>
                <w:rFonts w:ascii="Consolas" w:hAnsi="Consolas"/>
                <w:b w:val="0"/>
                <w:sz w:val="17"/>
              </w:rPr>
              <w:t>#A9B8C2</w:t>
            </w:r>
          </w:p>
        </w:tc>
        <w:tc>
          <w:tcPr>
            <w:tcW w:type="dxa" w:w="2412"/>
          </w:tcPr>
          <w:p>
            <w:r>
              <w:rPr>
                <w:b w:val="0"/>
                <w:sz w:val="17"/>
              </w:rPr>
            </w:r>
            <w:r>
              <w:rPr>
                <w:b w:val="0"/>
                <w:sz w:val="17"/>
              </w:rPr>
              <w:t>Dark-theme secondary text</w:t>
            </w:r>
          </w:p>
        </w:tc>
      </w:tr>
      <w:tr>
        <w:tc>
          <w:tcPr>
            <w:tcW w:type="dxa" w:w="2412"/>
          </w:tcPr>
          <w:p>
            <w:r>
              <w:rPr>
                <w:b w:val="0"/>
                <w:sz w:val="17"/>
              </w:rPr>
            </w:r>
            <w:r>
              <w:rPr>
                <w:rFonts w:ascii="Consolas" w:hAnsi="Consolas"/>
                <w:b w:val="0"/>
                <w:sz w:val="17"/>
              </w:rPr>
              <w:t>--ember-light</w:t>
            </w:r>
          </w:p>
        </w:tc>
        <w:tc>
          <w:tcPr>
            <w:tcW w:type="dxa" w:w="2412"/>
          </w:tcPr>
          <w:p>
            <w:r>
              <w:rPr>
                <w:b w:val="0"/>
                <w:sz w:val="17"/>
              </w:rPr>
            </w:r>
            <w:r>
              <w:rPr>
                <w:b w:val="0"/>
                <w:sz w:val="17"/>
              </w:rPr>
              <w:t>Ember Light</w:t>
            </w:r>
          </w:p>
        </w:tc>
        <w:tc>
          <w:tcPr>
            <w:tcW w:type="dxa" w:w="2412"/>
          </w:tcPr>
          <w:p>
            <w:r>
              <w:rPr>
                <w:b w:val="0"/>
                <w:sz w:val="17"/>
              </w:rPr>
            </w:r>
            <w:r>
              <w:rPr>
                <w:rFonts w:ascii="Consolas" w:hAnsi="Consolas"/>
                <w:b w:val="0"/>
                <w:sz w:val="17"/>
              </w:rPr>
              <w:t>#F4A88F</w:t>
            </w:r>
          </w:p>
        </w:tc>
        <w:tc>
          <w:tcPr>
            <w:tcW w:type="dxa" w:w="2412"/>
          </w:tcPr>
          <w:p>
            <w:r>
              <w:rPr>
                <w:b w:val="0"/>
                <w:sz w:val="17"/>
              </w:rPr>
            </w:r>
            <w:r>
              <w:rPr>
                <w:b w:val="0"/>
                <w:sz w:val="17"/>
              </w:rPr>
              <w:t>Dark-theme accent text</w:t>
            </w:r>
          </w:p>
        </w:tc>
      </w:tr>
    </w:tbl>
    <w:p/>
    <w:p>
      <w:r>
        <w:rPr>
          <w:b/>
        </w:rPr>
        <w:t>Contrast ratios (WCAG 2.1; AA needs 4.5:1 normal text, 3:1 large text/UI)</w:t>
      </w:r>
      <w:r>
        <w:t xml:space="preserve"> — computed, not estimated: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Foreground on background</w:t>
            </w:r>
          </w:p>
        </w:tc>
        <w:tc>
          <w:tcPr>
            <w:tcW w:type="dxa" w:w="3216"/>
          </w:tcPr>
          <w:p>
            <w:r>
              <w:rPr>
                <w:b/>
                <w:sz w:val="17"/>
              </w:rPr>
            </w:r>
            <w:r>
              <w:rPr>
                <w:b/>
                <w:sz w:val="17"/>
              </w:rPr>
              <w:t>Ratio</w:t>
            </w:r>
          </w:p>
        </w:tc>
        <w:tc>
          <w:tcPr>
            <w:tcW w:type="dxa" w:w="3216"/>
          </w:tcPr>
          <w:p>
            <w:r>
              <w:rPr>
                <w:b/>
                <w:sz w:val="17"/>
              </w:rPr>
            </w:r>
            <w:r>
              <w:rPr>
                <w:b/>
                <w:sz w:val="17"/>
              </w:rPr>
              <w:t>Result</w:t>
            </w:r>
          </w:p>
        </w:tc>
      </w:tr>
      <w:tr>
        <w:tc>
          <w:tcPr>
            <w:tcW w:type="dxa" w:w="3216"/>
          </w:tcPr>
          <w:p>
            <w:r>
              <w:rPr>
                <w:b w:val="0"/>
                <w:sz w:val="17"/>
              </w:rPr>
            </w:r>
            <w:r>
              <w:rPr>
                <w:b w:val="0"/>
                <w:sz w:val="17"/>
              </w:rPr>
              <w:t>Ink on Paper</w:t>
            </w:r>
          </w:p>
        </w:tc>
        <w:tc>
          <w:tcPr>
            <w:tcW w:type="dxa" w:w="3216"/>
          </w:tcPr>
          <w:p>
            <w:r>
              <w:rPr>
                <w:b w:val="0"/>
                <w:sz w:val="17"/>
              </w:rPr>
            </w:r>
            <w:r>
              <w:rPr>
                <w:b w:val="0"/>
                <w:sz w:val="17"/>
              </w:rPr>
              <w:t>16.19</w:t>
            </w:r>
          </w:p>
        </w:tc>
        <w:tc>
          <w:tcPr>
            <w:tcW w:type="dxa" w:w="3216"/>
          </w:tcPr>
          <w:p>
            <w:r>
              <w:rPr>
                <w:b w:val="0"/>
                <w:sz w:val="17"/>
              </w:rPr>
            </w:r>
            <w:r>
              <w:rPr>
                <w:b w:val="0"/>
                <w:sz w:val="17"/>
              </w:rPr>
              <w:t>AAA</w:t>
            </w:r>
          </w:p>
        </w:tc>
      </w:tr>
      <w:tr>
        <w:tc>
          <w:tcPr>
            <w:tcW w:type="dxa" w:w="3216"/>
          </w:tcPr>
          <w:p>
            <w:r>
              <w:rPr>
                <w:b w:val="0"/>
                <w:sz w:val="17"/>
              </w:rPr>
            </w:r>
            <w:r>
              <w:rPr>
                <w:b w:val="0"/>
                <w:sz w:val="17"/>
              </w:rPr>
              <w:t>Ink on Bone</w:t>
            </w:r>
          </w:p>
        </w:tc>
        <w:tc>
          <w:tcPr>
            <w:tcW w:type="dxa" w:w="3216"/>
          </w:tcPr>
          <w:p>
            <w:r>
              <w:rPr>
                <w:b w:val="0"/>
                <w:sz w:val="17"/>
              </w:rPr>
            </w:r>
            <w:r>
              <w:rPr>
                <w:b w:val="0"/>
                <w:sz w:val="17"/>
              </w:rPr>
              <w:t>14.75</w:t>
            </w:r>
          </w:p>
        </w:tc>
        <w:tc>
          <w:tcPr>
            <w:tcW w:type="dxa" w:w="3216"/>
          </w:tcPr>
          <w:p>
            <w:r>
              <w:rPr>
                <w:b w:val="0"/>
                <w:sz w:val="17"/>
              </w:rPr>
            </w:r>
            <w:r>
              <w:rPr>
                <w:b w:val="0"/>
                <w:sz w:val="17"/>
              </w:rPr>
              <w:t>AAA</w:t>
            </w:r>
          </w:p>
        </w:tc>
      </w:tr>
      <w:tr>
        <w:tc>
          <w:tcPr>
            <w:tcW w:type="dxa" w:w="3216"/>
          </w:tcPr>
          <w:p>
            <w:r>
              <w:rPr>
                <w:b w:val="0"/>
                <w:sz w:val="17"/>
              </w:rPr>
            </w:r>
            <w:r>
              <w:rPr>
                <w:b w:val="0"/>
                <w:sz w:val="17"/>
              </w:rPr>
              <w:t>Ink on Mist</w:t>
            </w:r>
          </w:p>
        </w:tc>
        <w:tc>
          <w:tcPr>
            <w:tcW w:type="dxa" w:w="3216"/>
          </w:tcPr>
          <w:p>
            <w:r>
              <w:rPr>
                <w:b w:val="0"/>
                <w:sz w:val="17"/>
              </w:rPr>
            </w:r>
            <w:r>
              <w:rPr>
                <w:b w:val="0"/>
                <w:sz w:val="17"/>
              </w:rPr>
              <w:t>14.04</w:t>
            </w:r>
          </w:p>
        </w:tc>
        <w:tc>
          <w:tcPr>
            <w:tcW w:type="dxa" w:w="3216"/>
          </w:tcPr>
          <w:p>
            <w:r>
              <w:rPr>
                <w:b w:val="0"/>
                <w:sz w:val="17"/>
              </w:rPr>
            </w:r>
            <w:r>
              <w:rPr>
                <w:b w:val="0"/>
                <w:sz w:val="17"/>
              </w:rPr>
              <w:t>AAA</w:t>
            </w:r>
          </w:p>
        </w:tc>
      </w:tr>
      <w:tr>
        <w:tc>
          <w:tcPr>
            <w:tcW w:type="dxa" w:w="3216"/>
          </w:tcPr>
          <w:p>
            <w:r>
              <w:rPr>
                <w:b w:val="0"/>
                <w:sz w:val="17"/>
              </w:rPr>
            </w:r>
            <w:r>
              <w:rPr>
                <w:b w:val="0"/>
                <w:sz w:val="17"/>
              </w:rPr>
              <w:t>Slate on Paper</w:t>
            </w:r>
          </w:p>
        </w:tc>
        <w:tc>
          <w:tcPr>
            <w:tcW w:type="dxa" w:w="3216"/>
          </w:tcPr>
          <w:p>
            <w:r>
              <w:rPr>
                <w:b w:val="0"/>
                <w:sz w:val="17"/>
              </w:rPr>
            </w:r>
            <w:r>
              <w:rPr>
                <w:b w:val="0"/>
                <w:sz w:val="17"/>
              </w:rPr>
              <w:t>7.80</w:t>
            </w:r>
          </w:p>
        </w:tc>
        <w:tc>
          <w:tcPr>
            <w:tcW w:type="dxa" w:w="3216"/>
          </w:tcPr>
          <w:p>
            <w:r>
              <w:rPr>
                <w:b w:val="0"/>
                <w:sz w:val="17"/>
              </w:rPr>
            </w:r>
            <w:r>
              <w:rPr>
                <w:b w:val="0"/>
                <w:sz w:val="17"/>
              </w:rPr>
              <w:t>AAA</w:t>
            </w:r>
          </w:p>
        </w:tc>
      </w:tr>
      <w:tr>
        <w:tc>
          <w:tcPr>
            <w:tcW w:type="dxa" w:w="3216"/>
          </w:tcPr>
          <w:p>
            <w:r>
              <w:rPr>
                <w:b w:val="0"/>
                <w:sz w:val="17"/>
              </w:rPr>
            </w:r>
            <w:r>
              <w:rPr>
                <w:b w:val="0"/>
                <w:sz w:val="17"/>
              </w:rPr>
              <w:t>Slate on Bone</w:t>
            </w:r>
          </w:p>
        </w:tc>
        <w:tc>
          <w:tcPr>
            <w:tcW w:type="dxa" w:w="3216"/>
          </w:tcPr>
          <w:p>
            <w:r>
              <w:rPr>
                <w:b w:val="0"/>
                <w:sz w:val="17"/>
              </w:rPr>
            </w:r>
            <w:r>
              <w:rPr>
                <w:b w:val="0"/>
                <w:sz w:val="17"/>
              </w:rPr>
              <w:t>7.10</w:t>
            </w:r>
          </w:p>
        </w:tc>
        <w:tc>
          <w:tcPr>
            <w:tcW w:type="dxa" w:w="3216"/>
          </w:tcPr>
          <w:p>
            <w:r>
              <w:rPr>
                <w:b w:val="0"/>
                <w:sz w:val="17"/>
              </w:rPr>
            </w:r>
            <w:r>
              <w:rPr>
                <w:b w:val="0"/>
                <w:sz w:val="17"/>
              </w:rPr>
              <w:t>AAA</w:t>
            </w:r>
          </w:p>
        </w:tc>
      </w:tr>
      <w:tr>
        <w:tc>
          <w:tcPr>
            <w:tcW w:type="dxa" w:w="3216"/>
          </w:tcPr>
          <w:p>
            <w:r>
              <w:rPr>
                <w:b w:val="0"/>
                <w:sz w:val="17"/>
              </w:rPr>
            </w:r>
            <w:r>
              <w:rPr>
                <w:b w:val="0"/>
                <w:sz w:val="17"/>
              </w:rPr>
              <w:t>Vytal Teal on Paper</w:t>
            </w:r>
          </w:p>
        </w:tc>
        <w:tc>
          <w:tcPr>
            <w:tcW w:type="dxa" w:w="3216"/>
          </w:tcPr>
          <w:p>
            <w:r>
              <w:rPr>
                <w:b w:val="0"/>
                <w:sz w:val="17"/>
              </w:rPr>
            </w:r>
            <w:r>
              <w:rPr>
                <w:b w:val="0"/>
                <w:sz w:val="17"/>
              </w:rPr>
              <w:t>6.00</w:t>
            </w:r>
          </w:p>
        </w:tc>
        <w:tc>
          <w:tcPr>
            <w:tcW w:type="dxa" w:w="3216"/>
          </w:tcPr>
          <w:p>
            <w:r>
              <w:rPr>
                <w:b w:val="0"/>
                <w:sz w:val="17"/>
              </w:rPr>
            </w:r>
            <w:r>
              <w:rPr>
                <w:b w:val="0"/>
                <w:sz w:val="17"/>
              </w:rPr>
              <w:t>AA (AAA large)</w:t>
            </w:r>
          </w:p>
        </w:tc>
      </w:tr>
      <w:tr>
        <w:tc>
          <w:tcPr>
            <w:tcW w:type="dxa" w:w="3216"/>
          </w:tcPr>
          <w:p>
            <w:r>
              <w:rPr>
                <w:b w:val="0"/>
                <w:sz w:val="17"/>
              </w:rPr>
            </w:r>
            <w:r>
              <w:rPr>
                <w:b w:val="0"/>
                <w:sz w:val="17"/>
              </w:rPr>
              <w:t>Vytal Teal on Bone</w:t>
            </w:r>
          </w:p>
        </w:tc>
        <w:tc>
          <w:tcPr>
            <w:tcW w:type="dxa" w:w="3216"/>
          </w:tcPr>
          <w:p>
            <w:r>
              <w:rPr>
                <w:b w:val="0"/>
                <w:sz w:val="17"/>
              </w:rPr>
            </w:r>
            <w:r>
              <w:rPr>
                <w:b w:val="0"/>
                <w:sz w:val="17"/>
              </w:rPr>
              <w:t>5.47</w:t>
            </w:r>
          </w:p>
        </w:tc>
        <w:tc>
          <w:tcPr>
            <w:tcW w:type="dxa" w:w="3216"/>
          </w:tcPr>
          <w:p>
            <w:r>
              <w:rPr>
                <w:b w:val="0"/>
                <w:sz w:val="17"/>
              </w:rPr>
            </w:r>
            <w:r>
              <w:rPr>
                <w:b w:val="0"/>
                <w:sz w:val="17"/>
              </w:rPr>
              <w:t>AA</w:t>
            </w:r>
          </w:p>
        </w:tc>
      </w:tr>
      <w:tr>
        <w:tc>
          <w:tcPr>
            <w:tcW w:type="dxa" w:w="3216"/>
          </w:tcPr>
          <w:p>
            <w:r>
              <w:rPr>
                <w:b w:val="0"/>
                <w:sz w:val="17"/>
              </w:rPr>
            </w:r>
            <w:r>
              <w:rPr>
                <w:b w:val="0"/>
                <w:sz w:val="17"/>
              </w:rPr>
              <w:t>Vytal Teal on Mist</w:t>
            </w:r>
          </w:p>
        </w:tc>
        <w:tc>
          <w:tcPr>
            <w:tcW w:type="dxa" w:w="3216"/>
          </w:tcPr>
          <w:p>
            <w:r>
              <w:rPr>
                <w:b w:val="0"/>
                <w:sz w:val="17"/>
              </w:rPr>
            </w:r>
            <w:r>
              <w:rPr>
                <w:b w:val="0"/>
                <w:sz w:val="17"/>
              </w:rPr>
              <w:t>5.20</w:t>
            </w:r>
          </w:p>
        </w:tc>
        <w:tc>
          <w:tcPr>
            <w:tcW w:type="dxa" w:w="3216"/>
          </w:tcPr>
          <w:p>
            <w:r>
              <w:rPr>
                <w:b w:val="0"/>
                <w:sz w:val="17"/>
              </w:rPr>
            </w:r>
            <w:r>
              <w:rPr>
                <w:b w:val="0"/>
                <w:sz w:val="17"/>
              </w:rPr>
              <w:t>AA</w:t>
            </w:r>
          </w:p>
        </w:tc>
      </w:tr>
      <w:tr>
        <w:tc>
          <w:tcPr>
            <w:tcW w:type="dxa" w:w="3216"/>
          </w:tcPr>
          <w:p>
            <w:r>
              <w:rPr>
                <w:b w:val="0"/>
                <w:sz w:val="17"/>
              </w:rPr>
            </w:r>
            <w:r>
              <w:rPr>
                <w:b w:val="0"/>
                <w:sz w:val="17"/>
              </w:rPr>
              <w:t>Paper on Vytal Teal (buttons)</w:t>
            </w:r>
          </w:p>
        </w:tc>
        <w:tc>
          <w:tcPr>
            <w:tcW w:type="dxa" w:w="3216"/>
          </w:tcPr>
          <w:p>
            <w:r>
              <w:rPr>
                <w:b w:val="0"/>
                <w:sz w:val="17"/>
              </w:rPr>
            </w:r>
            <w:r>
              <w:rPr>
                <w:b w:val="0"/>
                <w:sz w:val="17"/>
              </w:rPr>
              <w:t>6.00</w:t>
            </w:r>
          </w:p>
        </w:tc>
        <w:tc>
          <w:tcPr>
            <w:tcW w:type="dxa" w:w="3216"/>
          </w:tcPr>
          <w:p>
            <w:r>
              <w:rPr>
                <w:b w:val="0"/>
                <w:sz w:val="17"/>
              </w:rPr>
            </w:r>
            <w:r>
              <w:rPr>
                <w:b w:val="0"/>
                <w:sz w:val="17"/>
              </w:rPr>
              <w:t>AA</w:t>
            </w:r>
          </w:p>
        </w:tc>
      </w:tr>
      <w:tr>
        <w:tc>
          <w:tcPr>
            <w:tcW w:type="dxa" w:w="3216"/>
          </w:tcPr>
          <w:p>
            <w:r>
              <w:rPr>
                <w:b w:val="0"/>
                <w:sz w:val="17"/>
              </w:rPr>
            </w:r>
            <w:r>
              <w:rPr>
                <w:b w:val="0"/>
                <w:sz w:val="17"/>
              </w:rPr>
              <w:t>Paper on Teal Dark</w:t>
            </w:r>
          </w:p>
        </w:tc>
        <w:tc>
          <w:tcPr>
            <w:tcW w:type="dxa" w:w="3216"/>
          </w:tcPr>
          <w:p>
            <w:r>
              <w:rPr>
                <w:b w:val="0"/>
                <w:sz w:val="17"/>
              </w:rPr>
            </w:r>
            <w:r>
              <w:rPr>
                <w:b w:val="0"/>
                <w:sz w:val="17"/>
              </w:rPr>
              <w:t>8.42</w:t>
            </w:r>
          </w:p>
        </w:tc>
        <w:tc>
          <w:tcPr>
            <w:tcW w:type="dxa" w:w="3216"/>
          </w:tcPr>
          <w:p>
            <w:r>
              <w:rPr>
                <w:b w:val="0"/>
                <w:sz w:val="17"/>
              </w:rPr>
            </w:r>
            <w:r>
              <w:rPr>
                <w:b w:val="0"/>
                <w:sz w:val="17"/>
              </w:rPr>
              <w:t>AAA</w:t>
            </w:r>
          </w:p>
        </w:tc>
      </w:tr>
      <w:tr>
        <w:tc>
          <w:tcPr>
            <w:tcW w:type="dxa" w:w="3216"/>
          </w:tcPr>
          <w:p>
            <w:r>
              <w:rPr>
                <w:b w:val="0"/>
                <w:sz w:val="17"/>
              </w:rPr>
            </w:r>
            <w:r>
              <w:rPr>
                <w:b w:val="0"/>
                <w:sz w:val="17"/>
              </w:rPr>
              <w:t>Ember on Paper</w:t>
            </w:r>
          </w:p>
        </w:tc>
        <w:tc>
          <w:tcPr>
            <w:tcW w:type="dxa" w:w="3216"/>
          </w:tcPr>
          <w:p>
            <w:r>
              <w:rPr>
                <w:b w:val="0"/>
                <w:sz w:val="17"/>
              </w:rPr>
            </w:r>
            <w:r>
              <w:rPr>
                <w:b w:val="0"/>
                <w:sz w:val="17"/>
              </w:rPr>
              <w:t>5.34</w:t>
            </w:r>
          </w:p>
        </w:tc>
        <w:tc>
          <w:tcPr>
            <w:tcW w:type="dxa" w:w="3216"/>
          </w:tcPr>
          <w:p>
            <w:r>
              <w:rPr>
                <w:b w:val="0"/>
                <w:sz w:val="17"/>
              </w:rPr>
            </w:r>
            <w:r>
              <w:rPr>
                <w:b w:val="0"/>
                <w:sz w:val="17"/>
              </w:rPr>
              <w:t>AA</w:t>
            </w:r>
          </w:p>
        </w:tc>
      </w:tr>
      <w:tr>
        <w:tc>
          <w:tcPr>
            <w:tcW w:type="dxa" w:w="3216"/>
          </w:tcPr>
          <w:p>
            <w:r>
              <w:rPr>
                <w:b w:val="0"/>
                <w:sz w:val="17"/>
              </w:rPr>
            </w:r>
            <w:r>
              <w:rPr>
                <w:b w:val="0"/>
                <w:sz w:val="17"/>
              </w:rPr>
              <w:t>Ember on Bone</w:t>
            </w:r>
          </w:p>
        </w:tc>
        <w:tc>
          <w:tcPr>
            <w:tcW w:type="dxa" w:w="3216"/>
          </w:tcPr>
          <w:p>
            <w:r>
              <w:rPr>
                <w:b w:val="0"/>
                <w:sz w:val="17"/>
              </w:rPr>
            </w:r>
            <w:r>
              <w:rPr>
                <w:b w:val="0"/>
                <w:sz w:val="17"/>
              </w:rPr>
              <w:t>4.86</w:t>
            </w:r>
          </w:p>
        </w:tc>
        <w:tc>
          <w:tcPr>
            <w:tcW w:type="dxa" w:w="3216"/>
          </w:tcPr>
          <w:p>
            <w:r>
              <w:rPr>
                <w:b w:val="0"/>
                <w:sz w:val="17"/>
              </w:rPr>
            </w:r>
            <w:r>
              <w:rPr>
                <w:b w:val="0"/>
                <w:sz w:val="17"/>
              </w:rPr>
              <w:t>AA</w:t>
            </w:r>
          </w:p>
        </w:tc>
      </w:tr>
      <w:tr>
        <w:tc>
          <w:tcPr>
            <w:tcW w:type="dxa" w:w="3216"/>
          </w:tcPr>
          <w:p>
            <w:r>
              <w:rPr>
                <w:b w:val="0"/>
                <w:sz w:val="17"/>
              </w:rPr>
            </w:r>
            <w:r>
              <w:rPr>
                <w:b w:val="0"/>
                <w:sz w:val="17"/>
              </w:rPr>
              <w:t>Paper on Ember (accent buttons)</w:t>
            </w:r>
          </w:p>
        </w:tc>
        <w:tc>
          <w:tcPr>
            <w:tcW w:type="dxa" w:w="3216"/>
          </w:tcPr>
          <w:p>
            <w:r>
              <w:rPr>
                <w:b w:val="0"/>
                <w:sz w:val="17"/>
              </w:rPr>
            </w:r>
            <w:r>
              <w:rPr>
                <w:b w:val="0"/>
                <w:sz w:val="17"/>
              </w:rPr>
              <w:t>5.34</w:t>
            </w:r>
          </w:p>
        </w:tc>
        <w:tc>
          <w:tcPr>
            <w:tcW w:type="dxa" w:w="3216"/>
          </w:tcPr>
          <w:p>
            <w:r>
              <w:rPr>
                <w:b w:val="0"/>
                <w:sz w:val="17"/>
              </w:rPr>
            </w:r>
            <w:r>
              <w:rPr>
                <w:b w:val="0"/>
                <w:sz w:val="17"/>
              </w:rPr>
              <w:t>AA</w:t>
            </w:r>
          </w:p>
        </w:tc>
      </w:tr>
      <w:tr>
        <w:tc>
          <w:tcPr>
            <w:tcW w:type="dxa" w:w="3216"/>
          </w:tcPr>
          <w:p>
            <w:r>
              <w:rPr>
                <w:b w:val="0"/>
                <w:sz w:val="17"/>
              </w:rPr>
            </w:r>
            <w:r>
              <w:rPr>
                <w:b w:val="0"/>
                <w:sz w:val="17"/>
              </w:rPr>
              <w:t>Paper on Deep</w:t>
            </w:r>
          </w:p>
        </w:tc>
        <w:tc>
          <w:tcPr>
            <w:tcW w:type="dxa" w:w="3216"/>
          </w:tcPr>
          <w:p>
            <w:r>
              <w:rPr>
                <w:b w:val="0"/>
                <w:sz w:val="17"/>
              </w:rPr>
            </w:r>
            <w:r>
              <w:rPr>
                <w:b w:val="0"/>
                <w:sz w:val="17"/>
              </w:rPr>
              <w:t>12.00</w:t>
            </w:r>
          </w:p>
        </w:tc>
        <w:tc>
          <w:tcPr>
            <w:tcW w:type="dxa" w:w="3216"/>
          </w:tcPr>
          <w:p>
            <w:r>
              <w:rPr>
                <w:b w:val="0"/>
                <w:sz w:val="17"/>
              </w:rPr>
            </w:r>
            <w:r>
              <w:rPr>
                <w:b w:val="0"/>
                <w:sz w:val="17"/>
              </w:rPr>
              <w:t>AAA</w:t>
            </w:r>
          </w:p>
        </w:tc>
      </w:tr>
      <w:tr>
        <w:tc>
          <w:tcPr>
            <w:tcW w:type="dxa" w:w="3216"/>
          </w:tcPr>
          <w:p>
            <w:r>
              <w:rPr>
                <w:b w:val="0"/>
                <w:sz w:val="17"/>
              </w:rPr>
            </w:r>
            <w:r>
              <w:rPr>
                <w:b w:val="0"/>
                <w:sz w:val="17"/>
              </w:rPr>
              <w:t>Signal Mint on Night</w:t>
            </w:r>
          </w:p>
        </w:tc>
        <w:tc>
          <w:tcPr>
            <w:tcW w:type="dxa" w:w="3216"/>
          </w:tcPr>
          <w:p>
            <w:r>
              <w:rPr>
                <w:b w:val="0"/>
                <w:sz w:val="17"/>
              </w:rPr>
            </w:r>
            <w:r>
              <w:rPr>
                <w:b w:val="0"/>
                <w:sz w:val="17"/>
              </w:rPr>
              <w:t>11.23</w:t>
            </w:r>
          </w:p>
        </w:tc>
        <w:tc>
          <w:tcPr>
            <w:tcW w:type="dxa" w:w="3216"/>
          </w:tcPr>
          <w:p>
            <w:r>
              <w:rPr>
                <w:b w:val="0"/>
                <w:sz w:val="17"/>
              </w:rPr>
            </w:r>
            <w:r>
              <w:rPr>
                <w:b w:val="0"/>
                <w:sz w:val="17"/>
              </w:rPr>
              <w:t>AAA</w:t>
            </w:r>
          </w:p>
        </w:tc>
      </w:tr>
      <w:tr>
        <w:tc>
          <w:tcPr>
            <w:tcW w:type="dxa" w:w="3216"/>
          </w:tcPr>
          <w:p>
            <w:r>
              <w:rPr>
                <w:b w:val="0"/>
                <w:sz w:val="17"/>
              </w:rPr>
            </w:r>
            <w:r>
              <w:rPr>
                <w:b w:val="0"/>
                <w:sz w:val="17"/>
              </w:rPr>
              <w:t>Signal Mint on Deep</w:t>
            </w:r>
          </w:p>
        </w:tc>
        <w:tc>
          <w:tcPr>
            <w:tcW w:type="dxa" w:w="3216"/>
          </w:tcPr>
          <w:p>
            <w:r>
              <w:rPr>
                <w:b w:val="0"/>
                <w:sz w:val="17"/>
              </w:rPr>
            </w:r>
            <w:r>
              <w:rPr>
                <w:b w:val="0"/>
                <w:sz w:val="17"/>
              </w:rPr>
              <w:t>7.63</w:t>
            </w:r>
          </w:p>
        </w:tc>
        <w:tc>
          <w:tcPr>
            <w:tcW w:type="dxa" w:w="3216"/>
          </w:tcPr>
          <w:p>
            <w:r>
              <w:rPr>
                <w:b w:val="0"/>
                <w:sz w:val="17"/>
              </w:rPr>
            </w:r>
            <w:r>
              <w:rPr>
                <w:b w:val="0"/>
                <w:sz w:val="17"/>
              </w:rPr>
              <w:t>AAA</w:t>
            </w:r>
          </w:p>
        </w:tc>
      </w:tr>
      <w:tr>
        <w:tc>
          <w:tcPr>
            <w:tcW w:type="dxa" w:w="3216"/>
          </w:tcPr>
          <w:p>
            <w:r>
              <w:rPr>
                <w:b w:val="0"/>
                <w:sz w:val="17"/>
              </w:rPr>
            </w:r>
            <w:r>
              <w:rPr>
                <w:b w:val="0"/>
                <w:sz w:val="17"/>
              </w:rPr>
              <w:t>Night Text on Night</w:t>
            </w:r>
          </w:p>
        </w:tc>
        <w:tc>
          <w:tcPr>
            <w:tcW w:type="dxa" w:w="3216"/>
          </w:tcPr>
          <w:p>
            <w:r>
              <w:rPr>
                <w:b w:val="0"/>
                <w:sz w:val="17"/>
              </w:rPr>
            </w:r>
            <w:r>
              <w:rPr>
                <w:b w:val="0"/>
                <w:sz w:val="17"/>
              </w:rPr>
              <w:t>15.11</w:t>
            </w:r>
          </w:p>
        </w:tc>
        <w:tc>
          <w:tcPr>
            <w:tcW w:type="dxa" w:w="3216"/>
          </w:tcPr>
          <w:p>
            <w:r>
              <w:rPr>
                <w:b w:val="0"/>
                <w:sz w:val="17"/>
              </w:rPr>
            </w:r>
            <w:r>
              <w:rPr>
                <w:b w:val="0"/>
                <w:sz w:val="17"/>
              </w:rPr>
              <w:t>AAA</w:t>
            </w:r>
          </w:p>
        </w:tc>
      </w:tr>
      <w:tr>
        <w:tc>
          <w:tcPr>
            <w:tcW w:type="dxa" w:w="3216"/>
          </w:tcPr>
          <w:p>
            <w:r>
              <w:rPr>
                <w:b w:val="0"/>
                <w:sz w:val="17"/>
              </w:rPr>
            </w:r>
            <w:r>
              <w:rPr>
                <w:b w:val="0"/>
                <w:sz w:val="17"/>
              </w:rPr>
              <w:t>Night Muted on Night</w:t>
            </w:r>
          </w:p>
        </w:tc>
        <w:tc>
          <w:tcPr>
            <w:tcW w:type="dxa" w:w="3216"/>
          </w:tcPr>
          <w:p>
            <w:r>
              <w:rPr>
                <w:b w:val="0"/>
                <w:sz w:val="17"/>
              </w:rPr>
            </w:r>
            <w:r>
              <w:rPr>
                <w:b w:val="0"/>
                <w:sz w:val="17"/>
              </w:rPr>
              <w:t>8.68</w:t>
            </w:r>
          </w:p>
        </w:tc>
        <w:tc>
          <w:tcPr>
            <w:tcW w:type="dxa" w:w="3216"/>
          </w:tcPr>
          <w:p>
            <w:r>
              <w:rPr>
                <w:b w:val="0"/>
                <w:sz w:val="17"/>
              </w:rPr>
            </w:r>
            <w:r>
              <w:rPr>
                <w:b w:val="0"/>
                <w:sz w:val="17"/>
              </w:rPr>
              <w:t>AAA</w:t>
            </w:r>
          </w:p>
        </w:tc>
      </w:tr>
      <w:tr>
        <w:tc>
          <w:tcPr>
            <w:tcW w:type="dxa" w:w="3216"/>
          </w:tcPr>
          <w:p>
            <w:r>
              <w:rPr>
                <w:b w:val="0"/>
                <w:sz w:val="17"/>
              </w:rPr>
            </w:r>
            <w:r>
              <w:rPr>
                <w:b w:val="0"/>
                <w:sz w:val="17"/>
              </w:rPr>
              <w:t>Night Text on Night 2</w:t>
            </w:r>
          </w:p>
        </w:tc>
        <w:tc>
          <w:tcPr>
            <w:tcW w:type="dxa" w:w="3216"/>
          </w:tcPr>
          <w:p>
            <w:r>
              <w:rPr>
                <w:b w:val="0"/>
                <w:sz w:val="17"/>
              </w:rPr>
            </w:r>
            <w:r>
              <w:rPr>
                <w:b w:val="0"/>
                <w:sz w:val="17"/>
              </w:rPr>
              <w:t>12.92</w:t>
            </w:r>
          </w:p>
        </w:tc>
        <w:tc>
          <w:tcPr>
            <w:tcW w:type="dxa" w:w="3216"/>
          </w:tcPr>
          <w:p>
            <w:r>
              <w:rPr>
                <w:b w:val="0"/>
                <w:sz w:val="17"/>
              </w:rPr>
            </w:r>
            <w:r>
              <w:rPr>
                <w:b w:val="0"/>
                <w:sz w:val="17"/>
              </w:rPr>
              <w:t>AAA</w:t>
            </w:r>
          </w:p>
        </w:tc>
      </w:tr>
      <w:tr>
        <w:tc>
          <w:tcPr>
            <w:tcW w:type="dxa" w:w="3216"/>
          </w:tcPr>
          <w:p>
            <w:r>
              <w:rPr>
                <w:b w:val="0"/>
                <w:sz w:val="17"/>
              </w:rPr>
            </w:r>
            <w:r>
              <w:rPr>
                <w:b w:val="0"/>
                <w:sz w:val="17"/>
              </w:rPr>
              <w:t>Ember Light on Night</w:t>
            </w:r>
          </w:p>
        </w:tc>
        <w:tc>
          <w:tcPr>
            <w:tcW w:type="dxa" w:w="3216"/>
          </w:tcPr>
          <w:p>
            <w:r>
              <w:rPr>
                <w:b w:val="0"/>
                <w:sz w:val="17"/>
              </w:rPr>
            </w:r>
            <w:r>
              <w:rPr>
                <w:b w:val="0"/>
                <w:sz w:val="17"/>
              </w:rPr>
              <w:t>9.12</w:t>
            </w:r>
          </w:p>
        </w:tc>
        <w:tc>
          <w:tcPr>
            <w:tcW w:type="dxa" w:w="3216"/>
          </w:tcPr>
          <w:p>
            <w:r>
              <w:rPr>
                <w:b w:val="0"/>
                <w:sz w:val="17"/>
              </w:rPr>
            </w:r>
            <w:r>
              <w:rPr>
                <w:b w:val="0"/>
                <w:sz w:val="17"/>
              </w:rPr>
              <w:t>AAA</w:t>
            </w:r>
          </w:p>
        </w:tc>
      </w:tr>
    </w:tbl>
    <w:p/>
    <w:p>
      <w:r>
        <w:t>Rules: Signal Mint is never body text on a light surface (fails). Ember is never used for large fills behind long text. Gradients are limited to the illustration layer (Deep → Teal, Night → Deep), never behind body copy.</w:t>
      </w:r>
    </w:p>
    <w:p>
      <w:pPr>
        <w:pStyle w:val="Heading2"/>
      </w:pPr>
      <w:r>
        <w:t>8. Typography</w:t>
      </w:r>
    </w:p>
    <w:p>
      <w:r>
        <w:rPr>
          <w:b/>
        </w:rPr>
        <w:t>Pairing (Google Fonts):</w:t>
      </w:r>
      <w:r>
        <w:t xml:space="preserve"> </w:t>
      </w:r>
      <w:r>
        <w:rPr>
          <w:b/>
        </w:rPr>
        <w:t>Fraunces</w:t>
      </w:r>
      <w:r>
        <w:t xml:space="preserve"> (display/headings — a warm, contemporary serif with optical sizes; reads premium and human, avoids the SaaS-sans sameness) + </w:t>
      </w:r>
      <w:r>
        <w:rPr>
          <w:b/>
        </w:rPr>
        <w:t>Manrope</w:t>
      </w:r>
      <w:r>
        <w:t xml:space="preserve"> (body/UI — geometric, highly legible, technical without coldness).</w:t>
      </w:r>
    </w:p>
    <w:p>
      <w:r>
        <w:rPr>
          <w:rFonts w:ascii="Consolas" w:hAnsi="Consolas"/>
          <w:sz w:val="17"/>
        </w:rPr>
        <w:t>--font-display: "Fraunces", "Iowan Old Style", "Palatino Linotype", Georgia, serif;</w:t>
        <w:br/>
        <w:t>--font-body: "Manrope", "Inter", system-ui, -apple-system, "Segoe UI", Roboto, sans-serif;</w:t>
        <w:br/>
        <w:t>--font-mono: "JetBrains Mono", ui-monospace, SFMono-Regular, Menlo, Consolas, monospace; /* not loaded; system fallback */</w:t>
      </w:r>
    </w:p>
    <w:p>
      <w:r>
        <w:rPr>
          <w:b/>
        </w:rPr>
        <w:t>Scale (web, fluid):</w:t>
      </w:r>
      <w:r>
        <w:t xml:space="preserve"> base 17px/1.6; h1 clamp(2.4rem, 5vw, 4rem) weight 500, letter-spacing −0.02em, line-height 1.05; h2 clamp(1.8rem, 3.2vw, 2.6rem); h3 1.35rem (Manrope 700); eyebrow 0.8rem uppercase tracking 0.12em (Manrope 700, teal).</w:t>
      </w:r>
    </w:p>
    <w:p>
      <w:r>
        <w:t xml:space="preserve">Fraunces is loaded with the </w:t>
      </w:r>
      <w:r>
        <w:rPr>
          <w:rFonts w:ascii="Consolas" w:hAnsi="Consolas"/>
          <w:sz w:val="18"/>
        </w:rPr>
        <w:t>SOFT</w:t>
      </w:r>
      <w:r>
        <w:t xml:space="preserve"> axis at a low value and </w:t>
      </w:r>
      <w:r>
        <w:rPr>
          <w:rFonts w:ascii="Consolas" w:hAnsi="Consolas"/>
          <w:sz w:val="18"/>
        </w:rPr>
        <w:t>opsz</w:t>
      </w:r>
      <w:r>
        <w:t xml:space="preserve"> auto so it stays crisp, not decorative. Weights loaded: Fraunces 400/500/600; Manrope 400/500/700. Load with </w:t>
      </w:r>
      <w:r>
        <w:rPr>
          <w:rFonts w:ascii="Consolas" w:hAnsi="Consolas"/>
          <w:sz w:val="18"/>
        </w:rPr>
        <w:t>font-display: swap</w:t>
      </w:r>
      <w:r>
        <w:t xml:space="preserve"> and </w:t>
      </w:r>
      <w:r>
        <w:rPr>
          <w:rFonts w:ascii="Consolas" w:hAnsi="Consolas"/>
          <w:sz w:val="18"/>
        </w:rPr>
        <w:t>preconnect</w:t>
      </w:r>
      <w:r>
        <w:t>.</w:t>
      </w:r>
    </w:p>
    <w:p>
      <w:r>
        <w:rPr>
          <w:b/>
        </w:rPr>
        <w:t>Print/deck equivalents when fonts cannot be embedded:</w:t>
      </w:r>
      <w:r>
        <w:t xml:space="preserve"> Georgia + Arial.</w:t>
      </w:r>
    </w:p>
    <w:p>
      <w:pPr>
        <w:pStyle w:val="Heading2"/>
      </w:pPr>
      <w:r>
        <w:t>9. Logo</w:t>
      </w:r>
    </w:p>
    <w:p>
      <w:r>
        <w:rPr>
          <w:b/>
        </w:rPr>
        <w:t>Wordmark concept — "the monoline mark":</w:t>
      </w:r>
      <w:r>
        <w:t xml:space="preserve"> VYTALIX set in a custom geometric monoline (every letter built from straight strokes, round caps, uniform weight). The letters V, Y, T, A, L, I, X are all straight-line forms, which makes a bespoke, fully-outlined wordmark possible without any font dependency — it renders identically everywhere and can be cut, embroidered or engraved.</w:t>
      </w:r>
    </w:p>
    <w:p>
      <w:r>
        <w:rPr>
          <w:b/>
        </w:rPr>
        <w:t>Symbol concept — "the Y-node":</w:t>
      </w:r>
      <w:r>
        <w:t xml:space="preserve"> the Y in VYTALIX is the symbol. Its three strokes stand for the three things Vytalix brings together — people, care and data (or advice, delivery and product). Where the strokes meet, a small filled circle in Ember marks the point of convergence: the moment technology becomes useful in a life. The Y-node is extracted as the standalone mark for favicons, app icons and social avatars, placed inside a rounded square in Deep with the strokes in Bone and the node in Ember.</w:t>
      </w:r>
    </w:p>
    <w:p>
      <w:r>
        <w:rPr>
          <w:b/>
        </w:rPr>
        <w:t>Files:</w:t>
      </w:r>
      <w:r>
        <w:t xml:space="preserve"> </w:t>
      </w:r>
      <w:r>
        <w:rPr>
          <w:rFonts w:ascii="Consolas" w:hAnsi="Consolas"/>
          <w:sz w:val="18"/>
        </w:rPr>
        <w:t>website/assets/img/logo.svg</w:t>
      </w:r>
      <w:r>
        <w:t xml:space="preserve"> (primary wordmark, positive), </w:t>
      </w:r>
      <w:r>
        <w:rPr>
          <w:rFonts w:ascii="Consolas" w:hAnsi="Consolas"/>
          <w:sz w:val="18"/>
        </w:rPr>
        <w:t>logo-mono.svg</w:t>
      </w:r>
      <w:r>
        <w:t xml:space="preserve"> (single colour), </w:t>
      </w:r>
      <w:r>
        <w:rPr>
          <w:rFonts w:ascii="Consolas" w:hAnsi="Consolas"/>
          <w:sz w:val="18"/>
        </w:rPr>
        <w:t>logo-reverse.svg</w:t>
      </w:r>
      <w:r>
        <w:t xml:space="preserve"> (for dark surfaces), </w:t>
      </w:r>
      <w:r>
        <w:rPr>
          <w:rFonts w:ascii="Consolas" w:hAnsi="Consolas"/>
          <w:sz w:val="18"/>
        </w:rPr>
        <w:t>mark.svg</w:t>
      </w:r>
      <w:r>
        <w:t xml:space="preserve"> (Y-node symbol), </w:t>
      </w:r>
      <w:r>
        <w:rPr>
          <w:rFonts w:ascii="Consolas" w:hAnsi="Consolas"/>
          <w:sz w:val="18"/>
        </w:rPr>
        <w:t>favicon.svg</w:t>
      </w:r>
      <w:r>
        <w:t>.</w:t>
      </w:r>
    </w:p>
    <w:p>
      <w:r>
        <w:rPr>
          <w:b/>
        </w:rPr>
        <w:t>Rules:</w:t>
      </w:r>
      <w:r>
        <w:t xml:space="preserve"> minimum width 120px / 30mm for the wordmark, 24px for the mark; clear space = height of the letter X on every side; never stretch, recolour outside the palette, add drop shadows or place on photography without a solid panel. Do not typeset the name in Fraunces or Manrope as a substitute for the wordmark; in running text write "Vytalix" (title case).</w:t>
      </w:r>
    </w:p>
    <w:p>
      <w:pPr>
        <w:pStyle w:val="Heading2"/>
      </w:pPr>
      <w:r>
        <w:t>10. Iconography</w:t>
      </w:r>
    </w:p>
    <w:p>
      <w:pPr>
        <w:pStyle w:val="ListBullet"/>
      </w:pPr>
      <w:r>
        <w:t>Style: 1.75px monoline, round caps and joins, 24px grid, minimal interior detail — matching the wordmark's construction.</w:t>
      </w:r>
    </w:p>
    <w:p>
      <w:pPr>
        <w:pStyle w:val="ListBullet"/>
      </w:pPr>
      <w:r>
        <w:t>Concept set: Advisory (compass), Consulting (spanner-and-path), Health Solutions (Y-node in a shield outline, meaning "safeguarded"), E-Learning (open book with a signal line), Pilot (flag), Data (three nodes), Safety (shield), Roadmap (waypoints).</w:t>
      </w:r>
    </w:p>
    <w:p>
      <w:pPr>
        <w:pStyle w:val="ListBullet"/>
      </w:pPr>
      <w:r>
        <w:t>Icons are always paired with a text label; never decorative-only in navigation.</w:t>
      </w:r>
    </w:p>
    <w:p>
      <w:pPr>
        <w:pStyle w:val="ListBullet"/>
      </w:pPr>
      <w:r>
        <w:t>Source: hand-drawn inline SVG in the website; a Figma library is a TO DO.</w:t>
      </w:r>
    </w:p>
    <w:p>
      <w:pPr>
        <w:pStyle w:val="Heading2"/>
      </w:pPr>
      <w:r>
        <w:t>11. Illustration and photography direction</w:t>
      </w:r>
    </w:p>
    <w:p>
      <w:r>
        <w:rPr>
          <w:b/>
        </w:rPr>
        <w:t>Illustration (primary visual layer):</w:t>
      </w:r>
      <w:r>
        <w:t xml:space="preserve"> abstract "confluence" compositions — flowing monoline paths converging to nodes on Deep/Night panels with Signal Mint and Ember accents; soft topographic contour fields on Bone. They express coordination, signal and care without depicting bodies, organs or devices. All current site illustrations are SVG and stock-free.</w:t>
      </w:r>
    </w:p>
    <w:p>
      <w:r>
        <w:rPr>
          <w:b/>
        </w:rPr>
        <w:t>Photography (when budget allows; none used today):</w:t>
      </w:r>
    </w:p>
    <w:p>
      <w:pPr>
        <w:pStyle w:val="ListBullet"/>
      </w:pPr>
      <w:r>
        <w:t>Real environments, real light, real people at work — corridors, community clinics, kitchen-table meetings, a midwife's bag, a laptop on a ward desk. Documentary, not posed.</w:t>
      </w:r>
    </w:p>
    <w:p>
      <w:pPr>
        <w:pStyle w:val="ListBullet"/>
      </w:pPr>
      <w:r>
        <w:t>Diverse by default, particularly in maternal contexts, and always with consent and model releases.</w:t>
      </w:r>
    </w:p>
    <w:p>
      <w:pPr>
        <w:pStyle w:val="ListBullet"/>
      </w:pPr>
      <w:r>
        <w:t>No white-coat-and-stethoscope stock, no glowing-brain AI, no hands-on-belly clichés.</w:t>
      </w:r>
    </w:p>
    <w:p>
      <w:pPr>
        <w:pStyle w:val="ListBullet"/>
      </w:pPr>
      <w:r>
        <w:t>Colour grade: warm neutrals, slight desaturation; never blue-tinted.</w:t>
      </w:r>
    </w:p>
    <w:p>
      <w:pPr>
        <w:pStyle w:val="ListBullet"/>
      </w:pPr>
      <w:r>
        <w:t>Until real photography is commissioned, use illustration. Never use stock photography that implies a clinical partnership we do not have.</w:t>
      </w:r>
    </w:p>
    <w:p>
      <w:pPr>
        <w:pStyle w:val="Heading2"/>
      </w:pPr>
      <w:r>
        <w:t>12. UI design principles</w:t>
      </w:r>
    </w:p>
    <w:p>
      <w:pPr>
        <w:pStyle w:val="ListNumber"/>
      </w:pPr>
      <w:r>
        <w:rPr>
          <w:b/>
        </w:rPr>
        <w:t>Say what it is.</w:t>
      </w:r>
      <w:r>
        <w:t xml:space="preserve"> Every product surface states its stage and scope (e.g. "In development — non-diagnostic").</w:t>
      </w:r>
    </w:p>
    <w:p>
      <w:pPr>
        <w:pStyle w:val="ListNumber"/>
      </w:pPr>
      <w:r>
        <w:rPr>
          <w:b/>
        </w:rPr>
        <w:t>One accent, used for meaning.</w:t>
      </w:r>
      <w:r>
        <w:t xml:space="preserve"> Ember marks the action or the node, nothing else.</w:t>
      </w:r>
    </w:p>
    <w:p>
      <w:pPr>
        <w:pStyle w:val="ListNumber"/>
      </w:pPr>
      <w:r>
        <w:rPr>
          <w:b/>
        </w:rPr>
        <w:t>Generous rhythm.</w:t>
      </w:r>
      <w:r>
        <w:t xml:space="preserve"> 8px spacing scale; section padding 96–128px on desktop; max line length 65–72ch.</w:t>
      </w:r>
    </w:p>
    <w:p>
      <w:pPr>
        <w:pStyle w:val="ListNumber"/>
      </w:pPr>
      <w:r>
        <w:rPr>
          <w:b/>
        </w:rPr>
        <w:t>Accessible by construction.</w:t>
      </w:r>
      <w:r>
        <w:t xml:space="preserve"> Semantic landmarks, skip link, visible focus (2px Ember ring with 2px offset), 4.5:1 contrast, reduced-motion respected, 44px touch targets.</w:t>
      </w:r>
    </w:p>
    <w:p>
      <w:pPr>
        <w:pStyle w:val="ListNumber"/>
      </w:pPr>
      <w:r>
        <w:rPr>
          <w:b/>
        </w:rPr>
        <w:t>Fast by default.</w:t>
      </w:r>
      <w:r>
        <w:t xml:space="preserve"> No frameworks, no third-party scripts except Google Fonts; SVG only; total page weight under 300KB before fonts.</w:t>
      </w:r>
    </w:p>
    <w:p>
      <w:pPr>
        <w:pStyle w:val="ListNumber"/>
      </w:pPr>
      <w:r>
        <w:rPr>
          <w:b/>
        </w:rPr>
        <w:t>Cards are for choices, not decoration.</w:t>
      </w:r>
      <w:r>
        <w:t xml:space="preserve"> Cards only where the user picks between siblings (pillars, packages).</w:t>
      </w:r>
    </w:p>
    <w:p>
      <w:pPr>
        <w:pStyle w:val="ListNumber"/>
      </w:pPr>
      <w:r>
        <w:rPr>
          <w:b/>
        </w:rPr>
        <w:t>Dark theme is a treatment, not a second brand.</w:t>
      </w:r>
      <w:r>
        <w:t xml:space="preserve"> Same tokens, inverted surfaces; Ember Light and Signal Mint carry accent duties.</w:t>
      </w:r>
    </w:p>
    <w:p>
      <w:pPr>
        <w:pStyle w:val="ListNumber"/>
      </w:pPr>
      <w:r>
        <w:rPr>
          <w:b/>
        </w:rPr>
        <w:t>Forms are honest.</w:t>
      </w:r>
      <w:r>
        <w:t xml:space="preserve"> Tell people where the data goes and what happens next.</w:t>
      </w:r>
    </w:p>
    <w:p>
      <w:pPr>
        <w:pStyle w:val="Heading2"/>
      </w:pPr>
      <w:r>
        <w:t>13. Presentation design system</w:t>
      </w:r>
    </w:p>
    <w:p>
      <w:pPr>
        <w:pStyle w:val="ListBullet"/>
      </w:pPr>
      <w:r>
        <w:rPr>
          <w:b/>
        </w:rPr>
        <w:t>Format:</w:t>
      </w:r>
      <w:r>
        <w:t xml:space="preserve"> 16:9, 1920×1080. Margins 96px. 12-column grid with 24px gutters; content area 1728px.</w:t>
      </w:r>
    </w:p>
    <w:p>
      <w:pPr>
        <w:pStyle w:val="ListBullet"/>
      </w:pPr>
      <w:r>
        <w:rPr>
          <w:b/>
        </w:rPr>
        <w:t>Title slide:</w:t>
      </w:r>
      <w:r>
        <w:t xml:space="preserve"> Deep background, wordmark reverse top-left, Fraunces 500 title 72px in Bone, subtitle Manrope 28px in Signal Mint, footer line with date and "Confidential — draft" in Night Muted.</w:t>
      </w:r>
    </w:p>
    <w:p>
      <w:pPr>
        <w:pStyle w:val="ListBullet"/>
      </w:pPr>
      <w:r>
        <w:rPr>
          <w:b/>
        </w:rPr>
        <w:t>Section divider:</w:t>
      </w:r>
      <w:r>
        <w:t xml:space="preserve"> Night background, confluence illustration right two-thirds, section number in Ember 24px, title 56px.</w:t>
      </w:r>
    </w:p>
    <w:p>
      <w:pPr>
        <w:pStyle w:val="ListBullet"/>
      </w:pPr>
      <w:r>
        <w:rPr>
          <w:b/>
        </w:rPr>
        <w:t>Body slide:</w:t>
      </w:r>
      <w:r>
        <w:t xml:space="preserve"> Bone background; eyebrow (Manrope 700, 18px, uppercase, Teal); title Fraunces 44px Ink; body Manrope 24px/1.4 Slate, max 2 columns; footer: slide number left, "Vytalix — Technology for Life" centre, status tag right.</w:t>
      </w:r>
    </w:p>
    <w:p>
      <w:pPr>
        <w:pStyle w:val="ListBullet"/>
      </w:pPr>
      <w:r>
        <w:rPr>
          <w:b/>
        </w:rPr>
        <w:t>Data slide:</w:t>
      </w:r>
      <w:r>
        <w:t xml:space="preserve"> one chart per slide; Teal primary series, Slate secondary, Ember for the one point that matters; source line in 16px under the chart.</w:t>
      </w:r>
    </w:p>
    <w:p>
      <w:pPr>
        <w:pStyle w:val="ListBullet"/>
      </w:pPr>
      <w:r>
        <w:rPr>
          <w:b/>
        </w:rPr>
        <w:t>Rules:</w:t>
      </w:r>
      <w:r>
        <w:t xml:space="preserve"> no more than 6 bullets; no clip art; every number has a source or a label of ESTIMATE/ASSUMPTION; roadmap slides show validation gates explicitly.</w:t>
      </w:r>
    </w:p>
    <w:p>
      <w:pPr>
        <w:pStyle w:val="ListBullet"/>
      </w:pPr>
      <w:r>
        <w:t>Fonts embedded; fallback Georgia/Arial.</w:t>
      </w:r>
    </w:p>
    <w:p>
      <w:pPr>
        <w:pStyle w:val="Heading2"/>
      </w:pPr>
      <w:r>
        <w:t>14. Document design</w:t>
      </w:r>
    </w:p>
    <w:p>
      <w:r>
        <w:rPr>
          <w:b/>
        </w:rPr>
        <w:t>Letterhead (A4):</w:t>
      </w:r>
    </w:p>
    <w:p>
      <w:pPr>
        <w:pStyle w:val="ListBullet"/>
      </w:pPr>
      <w:r>
        <w:t xml:space="preserve">Header: wordmark top-left at 34mm width; right-aligned block in Manrope 8pt Slate: </w:t>
      </w:r>
      <w:r>
        <w:rPr>
          <w:rFonts w:ascii="Consolas" w:hAnsi="Consolas"/>
          <w:sz w:val="18"/>
        </w:rPr>
        <w:t>[Registered office address — add after incorporation]</w:t>
      </w:r>
      <w:r>
        <w:t xml:space="preserve">, </w:t>
      </w:r>
      <w:r>
        <w:rPr>
          <w:rFonts w:ascii="Consolas" w:hAnsi="Consolas"/>
          <w:sz w:val="18"/>
        </w:rPr>
        <w:t>[Company number — add after incorporation]</w:t>
      </w:r>
      <w:r>
        <w:t xml:space="preserve">, </w:t>
      </w:r>
      <w:r>
        <w:rPr>
          <w:rFonts w:ascii="Consolas" w:hAnsi="Consolas"/>
          <w:sz w:val="18"/>
        </w:rPr>
        <w:t>hello@[domain — TO VALIDATE]</w:t>
      </w:r>
      <w:r>
        <w:t>.</w:t>
      </w:r>
    </w:p>
    <w:p>
      <w:pPr>
        <w:pStyle w:val="ListBullet"/>
      </w:pPr>
      <w:r>
        <w:t>Body: Manrope 10.5pt/1.5 Ink, margins 25mm left/right, 30mm top, 25mm bottom. Headings Fraunces 16pt.</w:t>
      </w:r>
    </w:p>
    <w:p>
      <w:pPr>
        <w:pStyle w:val="ListBullet"/>
      </w:pPr>
      <w:r>
        <w:t>Footer: 8pt Slate: "Vytalix is a trading name of [Legal entity name — TO VALIDATE], registered in England &amp; Wales, no. [●]. Registered office: [●]." Page numbers right.</w:t>
      </w:r>
    </w:p>
    <w:p>
      <w:r>
        <w:rPr>
          <w:b/>
        </w:rPr>
        <w:t>Proposal template structure:</w:t>
      </w:r>
    </w:p>
    <w:p>
      <w:pPr>
        <w:pStyle w:val="ListNumber"/>
      </w:pPr>
      <w:r>
        <w:t>Cover — client name, engagement title, date, version, "Proposal — confidential".</w:t>
      </w:r>
    </w:p>
    <w:p>
      <w:pPr>
        <w:pStyle w:val="ListNumber"/>
      </w:pPr>
      <w:r>
        <w:t>Summary on one page — the problem, what we propose, outcome, price, timing.</w:t>
      </w:r>
    </w:p>
    <w:p>
      <w:pPr>
        <w:pStyle w:val="ListNumber"/>
      </w:pPr>
      <w:r>
        <w:t>Context and objectives (what you told us).</w:t>
      </w:r>
    </w:p>
    <w:p>
      <w:pPr>
        <w:pStyle w:val="ListNumber"/>
      </w:pPr>
      <w:r>
        <w:t xml:space="preserve">Our approach (phases, methods, what we will </w:t>
      </w:r>
      <w:r>
        <w:rPr>
          <w:i/>
        </w:rPr>
        <w:t>not</w:t>
      </w:r>
      <w:r>
        <w:t xml:space="preserve"> do).</w:t>
      </w:r>
    </w:p>
    <w:p>
      <w:pPr>
        <w:pStyle w:val="ListNumber"/>
      </w:pPr>
      <w:r>
        <w:t>Deliverables (table: deliverable, format, acceptance criterion).</w:t>
      </w:r>
    </w:p>
    <w:p>
      <w:pPr>
        <w:pStyle w:val="ListNumber"/>
      </w:pPr>
      <w:r>
        <w:t>Team and roles (founder-led; named associates only with consent; no invented people).</w:t>
      </w:r>
    </w:p>
    <w:p>
      <w:pPr>
        <w:pStyle w:val="ListNumber"/>
      </w:pPr>
      <w:r>
        <w:t>Timeline (Gantt-style table).</w:t>
      </w:r>
    </w:p>
    <w:p>
      <w:pPr>
        <w:pStyle w:val="ListNumber"/>
      </w:pPr>
      <w:r>
        <w:t>Commercials (fixed fee or day rate; payment schedule; expenses; VAT status TO VALIDATE).</w:t>
      </w:r>
    </w:p>
    <w:p>
      <w:pPr>
        <w:pStyle w:val="ListNumber"/>
      </w:pPr>
      <w:r>
        <w:t>Assumptions, dependencies and risks.</w:t>
      </w:r>
    </w:p>
    <w:p>
      <w:pPr>
        <w:pStyle w:val="ListNumber"/>
      </w:pPr>
      <w:r>
        <w:t>Terms (reference to Terms of Business; IP; confidentiality; data protection).</w:t>
      </w:r>
    </w:p>
    <w:p>
      <w:pPr>
        <w:pStyle w:val="ListNumber"/>
      </w:pPr>
      <w:r>
        <w:t>Next steps and signature block.</w:t>
      </w:r>
    </w:p>
    <w:p>
      <w:r>
        <w:t>Appendix: about Vytalix (stage-honest one-pager); relevant methods.</w:t>
      </w:r>
    </w:p>
    <w:p>
      <w:pPr>
        <w:pStyle w:val="Heading2"/>
      </w:pPr>
      <w:r>
        <w:t>15. Social-media design (LinkedIn)</w:t>
      </w:r>
    </w:p>
    <w:p>
      <w:r>
        <w:rPr>
          <w:b/>
        </w:rPr>
        <w:t>Templates (1080×1350 portrait for feed, 1200×627 for link posts):</w:t>
      </w:r>
    </w:p>
    <w:p>
      <w:pPr>
        <w:pStyle w:val="ListBullet"/>
      </w:pPr>
      <w:r>
        <w:rPr>
          <w:b/>
        </w:rPr>
        <w:t>Insight post:</w:t>
      </w:r>
      <w:r>
        <w:t xml:space="preserve"> Bone background, eyebrow "Vytalix Insight" in Teal, headline Fraunces 64px Ink (max 12 words), small Y-node bottom-right, page footer with the wordmark.</w:t>
      </w:r>
    </w:p>
    <w:p>
      <w:pPr>
        <w:pStyle w:val="ListBullet"/>
      </w:pPr>
      <w:r>
        <w:rPr>
          <w:b/>
        </w:rPr>
        <w:t>Quote/Stat post:</w:t>
      </w:r>
      <w:r>
        <w:t xml:space="preserve"> Deep background, stat or line in Fraunces 96px Bone with the key figure in Signal Mint, source line 24px Night Muted at the bottom. No stat without a source.</w:t>
      </w:r>
    </w:p>
    <w:p>
      <w:pPr>
        <w:pStyle w:val="ListBullet"/>
      </w:pPr>
      <w:r>
        <w:rPr>
          <w:b/>
        </w:rPr>
        <w:t>Announcement post:</w:t>
      </w:r>
      <w:r>
        <w:t xml:space="preserve"> Night background with confluence illustration, eyebrow "Update", headline 56px, one-line detail, CTA "Read more — link in comments".</w:t>
      </w:r>
    </w:p>
    <w:p>
      <w:r>
        <w:rPr>
          <w:b/>
        </w:rPr>
        <w:t>Carousel structure (PDF, 1080×1350, 6–10 slides):</w:t>
      </w:r>
    </w:p>
    <w:p>
      <w:pPr>
        <w:pStyle w:val="ListNumber"/>
      </w:pPr>
      <w:r>
        <w:t>Hook — one claim we can stand behind, or one question.</w:t>
      </w:r>
    </w:p>
    <w:p>
      <w:pPr>
        <w:pStyle w:val="ListNumber"/>
      </w:pPr>
      <w:r>
        <w:t>Why it matters (with source).</w:t>
      </w:r>
    </w:p>
    <w:p>
      <w:r>
        <w:t>3–7. One idea per slide, ≤ 30 words, consistent eyebrow numbering "02 / 08".</w:t>
      </w:r>
    </w:p>
    <w:p>
      <w:pPr>
        <w:pStyle w:val="ListNumber"/>
      </w:pPr>
      <w:r>
        <w:t>What we'd do about it (the practical move).</w:t>
      </w:r>
    </w:p>
    <w:p>
      <w:pPr>
        <w:pStyle w:val="ListNumber"/>
      </w:pPr>
      <w:r>
        <w:t>Honesty slide — "What we don't know yet" (this becomes a signature).</w:t>
      </w:r>
    </w:p>
    <w:p>
      <w:pPr>
        <w:pStyle w:val="ListNumber"/>
      </w:pPr>
      <w:r>
        <w:t>Close — wordmark, "Technology for Life", how to get in touch.</w:t>
      </w:r>
    </w:p>
    <w:p>
      <w:r>
        <w:rPr>
          <w:b/>
        </w:rPr>
        <w:t>Voice on LinkedIn:</w:t>
      </w:r>
      <w:r>
        <w:t xml:space="preserve"> founder's first person is fine; company page uses "we". No engagement-bait, no "🚀". Stage disclosure in the About section: "Pre-seed, founder-led. MaternaLink is in development."</w:t>
      </w:r>
    </w:p>
    <w:p>
      <w:pPr>
        <w:pStyle w:val="Heading2"/>
      </w:pPr>
      <w:r>
        <w:t>16. Brand-asset checklist</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Asset</w:t>
            </w:r>
          </w:p>
        </w:tc>
        <w:tc>
          <w:tcPr>
            <w:tcW w:type="dxa" w:w="4824"/>
          </w:tcPr>
          <w:p>
            <w:r>
              <w:rPr>
                <w:b/>
                <w:sz w:val="17"/>
              </w:rPr>
            </w:r>
            <w:r>
              <w:rPr>
                <w:b/>
                <w:sz w:val="17"/>
              </w:rPr>
              <w:t>Status</w:t>
            </w:r>
          </w:p>
        </w:tc>
      </w:tr>
      <w:tr>
        <w:tc>
          <w:tcPr>
            <w:tcW w:type="dxa" w:w="4824"/>
          </w:tcPr>
          <w:p>
            <w:r>
              <w:rPr>
                <w:b w:val="0"/>
                <w:sz w:val="17"/>
              </w:rPr>
            </w:r>
            <w:r>
              <w:rPr>
                <w:b w:val="0"/>
                <w:sz w:val="17"/>
              </w:rPr>
              <w:t>Wordmark SVG (positive, reverse, mono)</w:t>
            </w:r>
          </w:p>
        </w:tc>
        <w:tc>
          <w:tcPr>
            <w:tcW w:type="dxa" w:w="4824"/>
          </w:tcPr>
          <w:p>
            <w:r>
              <w:rPr>
                <w:b w:val="0"/>
                <w:sz w:val="17"/>
              </w:rPr>
            </w:r>
            <w:r>
              <w:rPr>
                <w:b w:val="0"/>
                <w:sz w:val="17"/>
              </w:rPr>
              <w:t xml:space="preserve">DONE — </w:t>
            </w:r>
            <w:r>
              <w:rPr>
                <w:rFonts w:ascii="Consolas" w:hAnsi="Consolas"/>
                <w:b w:val="0"/>
                <w:sz w:val="17"/>
              </w:rPr>
              <w:t>website/assets/img/</w:t>
            </w:r>
          </w:p>
        </w:tc>
      </w:tr>
      <w:tr>
        <w:tc>
          <w:tcPr>
            <w:tcW w:type="dxa" w:w="4824"/>
          </w:tcPr>
          <w:p>
            <w:r>
              <w:rPr>
                <w:b w:val="0"/>
                <w:sz w:val="17"/>
              </w:rPr>
            </w:r>
            <w:r>
              <w:rPr>
                <w:b w:val="0"/>
                <w:sz w:val="17"/>
              </w:rPr>
              <w:t>Y-node mark SVG + favicon</w:t>
            </w:r>
          </w:p>
        </w:tc>
        <w:tc>
          <w:tcPr>
            <w:tcW w:type="dxa" w:w="4824"/>
          </w:tcPr>
          <w:p>
            <w:r>
              <w:rPr>
                <w:b w:val="0"/>
                <w:sz w:val="17"/>
              </w:rPr>
            </w:r>
            <w:r>
              <w:rPr>
                <w:b w:val="0"/>
                <w:sz w:val="17"/>
              </w:rPr>
              <w:t>DONE</w:t>
            </w:r>
          </w:p>
        </w:tc>
      </w:tr>
      <w:tr>
        <w:tc>
          <w:tcPr>
            <w:tcW w:type="dxa" w:w="4824"/>
          </w:tcPr>
          <w:p>
            <w:r>
              <w:rPr>
                <w:b w:val="0"/>
                <w:sz w:val="17"/>
              </w:rPr>
            </w:r>
            <w:r>
              <w:rPr>
                <w:b w:val="0"/>
                <w:sz w:val="17"/>
              </w:rPr>
              <w:t>Colour tokens (CSS, with contrast table)</w:t>
            </w:r>
          </w:p>
        </w:tc>
        <w:tc>
          <w:tcPr>
            <w:tcW w:type="dxa" w:w="4824"/>
          </w:tcPr>
          <w:p>
            <w:r>
              <w:rPr>
                <w:b w:val="0"/>
                <w:sz w:val="17"/>
              </w:rPr>
            </w:r>
            <w:r>
              <w:rPr>
                <w:b w:val="0"/>
                <w:sz w:val="17"/>
              </w:rPr>
              <w:t>DONE</w:t>
            </w:r>
          </w:p>
        </w:tc>
      </w:tr>
      <w:tr>
        <w:tc>
          <w:tcPr>
            <w:tcW w:type="dxa" w:w="4824"/>
          </w:tcPr>
          <w:p>
            <w:r>
              <w:rPr>
                <w:b w:val="0"/>
                <w:sz w:val="17"/>
              </w:rPr>
            </w:r>
            <w:r>
              <w:rPr>
                <w:b w:val="0"/>
                <w:sz w:val="17"/>
              </w:rPr>
              <w:t>Type pairing and scale</w:t>
            </w:r>
          </w:p>
        </w:tc>
        <w:tc>
          <w:tcPr>
            <w:tcW w:type="dxa" w:w="4824"/>
          </w:tcPr>
          <w:p>
            <w:r>
              <w:rPr>
                <w:b w:val="0"/>
                <w:sz w:val="17"/>
              </w:rPr>
            </w:r>
            <w:r>
              <w:rPr>
                <w:b w:val="0"/>
                <w:sz w:val="17"/>
              </w:rPr>
              <w:t>DONE</w:t>
            </w:r>
          </w:p>
        </w:tc>
      </w:tr>
      <w:tr>
        <w:tc>
          <w:tcPr>
            <w:tcW w:type="dxa" w:w="4824"/>
          </w:tcPr>
          <w:p>
            <w:r>
              <w:rPr>
                <w:b w:val="0"/>
                <w:sz w:val="17"/>
              </w:rPr>
            </w:r>
            <w:r>
              <w:rPr>
                <w:b w:val="0"/>
                <w:sz w:val="17"/>
              </w:rPr>
              <w:t>Website (14 pages, static)</w:t>
            </w:r>
          </w:p>
        </w:tc>
        <w:tc>
          <w:tcPr>
            <w:tcW w:type="dxa" w:w="4824"/>
          </w:tcPr>
          <w:p>
            <w:r>
              <w:rPr>
                <w:b w:val="0"/>
                <w:sz w:val="17"/>
              </w:rPr>
            </w:r>
            <w:r>
              <w:rPr>
                <w:b w:val="0"/>
                <w:sz w:val="17"/>
              </w:rPr>
              <w:t xml:space="preserve">DONE — </w:t>
            </w:r>
            <w:r>
              <w:rPr>
                <w:rFonts w:ascii="Consolas" w:hAnsi="Consolas"/>
                <w:b w:val="0"/>
                <w:sz w:val="17"/>
              </w:rPr>
              <w:t>website/</w:t>
            </w:r>
          </w:p>
        </w:tc>
      </w:tr>
      <w:tr>
        <w:tc>
          <w:tcPr>
            <w:tcW w:type="dxa" w:w="4824"/>
          </w:tcPr>
          <w:p>
            <w:r>
              <w:rPr>
                <w:b w:val="0"/>
                <w:sz w:val="17"/>
              </w:rPr>
            </w:r>
            <w:r>
              <w:rPr>
                <w:b w:val="0"/>
                <w:sz w:val="17"/>
              </w:rPr>
              <w:t>OG image (1200×630 PNG)</w:t>
            </w:r>
          </w:p>
        </w:tc>
        <w:tc>
          <w:tcPr>
            <w:tcW w:type="dxa" w:w="4824"/>
          </w:tcPr>
          <w:p>
            <w:r>
              <w:rPr>
                <w:b w:val="0"/>
                <w:sz w:val="17"/>
              </w:rPr>
            </w:r>
            <w:r>
              <w:rPr>
                <w:b w:val="0"/>
                <w:sz w:val="17"/>
              </w:rPr>
              <w:t xml:space="preserve">TO DO — render from </w:t>
            </w:r>
            <w:r>
              <w:rPr>
                <w:rFonts w:ascii="Consolas" w:hAnsi="Consolas"/>
                <w:b w:val="0"/>
                <w:sz w:val="17"/>
              </w:rPr>
              <w:t>assets/img/og-image.svg</w:t>
            </w:r>
          </w:p>
        </w:tc>
      </w:tr>
      <w:tr>
        <w:tc>
          <w:tcPr>
            <w:tcW w:type="dxa" w:w="4824"/>
          </w:tcPr>
          <w:p>
            <w:r>
              <w:rPr>
                <w:b w:val="0"/>
                <w:sz w:val="17"/>
              </w:rPr>
            </w:r>
            <w:r>
              <w:rPr>
                <w:b w:val="0"/>
                <w:sz w:val="17"/>
              </w:rPr>
              <w:t>Slide master (PPTX/Google Slides)</w:t>
            </w:r>
          </w:p>
        </w:tc>
        <w:tc>
          <w:tcPr>
            <w:tcW w:type="dxa" w:w="4824"/>
          </w:tcPr>
          <w:p>
            <w:r>
              <w:rPr>
                <w:b w:val="0"/>
                <w:sz w:val="17"/>
              </w:rPr>
            </w:r>
            <w:r>
              <w:rPr>
                <w:b w:val="0"/>
                <w:sz w:val="17"/>
              </w:rPr>
              <w:t>TO DO — spec in §13</w:t>
            </w:r>
          </w:p>
        </w:tc>
      </w:tr>
      <w:tr>
        <w:tc>
          <w:tcPr>
            <w:tcW w:type="dxa" w:w="4824"/>
          </w:tcPr>
          <w:p>
            <w:r>
              <w:rPr>
                <w:b w:val="0"/>
                <w:sz w:val="17"/>
              </w:rPr>
            </w:r>
            <w:r>
              <w:rPr>
                <w:b w:val="0"/>
                <w:sz w:val="17"/>
              </w:rPr>
              <w:t>Letterhead and proposal template (DOCX)</w:t>
            </w:r>
          </w:p>
        </w:tc>
        <w:tc>
          <w:tcPr>
            <w:tcW w:type="dxa" w:w="4824"/>
          </w:tcPr>
          <w:p>
            <w:r>
              <w:rPr>
                <w:b w:val="0"/>
                <w:sz w:val="17"/>
              </w:rPr>
            </w:r>
            <w:r>
              <w:rPr>
                <w:b w:val="0"/>
                <w:sz w:val="17"/>
              </w:rPr>
              <w:t>TO DO — spec in §14</w:t>
            </w:r>
          </w:p>
        </w:tc>
      </w:tr>
      <w:tr>
        <w:tc>
          <w:tcPr>
            <w:tcW w:type="dxa" w:w="4824"/>
          </w:tcPr>
          <w:p>
            <w:r>
              <w:rPr>
                <w:b w:val="0"/>
                <w:sz w:val="17"/>
              </w:rPr>
            </w:r>
            <w:r>
              <w:rPr>
                <w:b w:val="0"/>
                <w:sz w:val="17"/>
              </w:rPr>
              <w:t>LinkedIn templates (Figma/Canva)</w:t>
            </w:r>
          </w:p>
        </w:tc>
        <w:tc>
          <w:tcPr>
            <w:tcW w:type="dxa" w:w="4824"/>
          </w:tcPr>
          <w:p>
            <w:r>
              <w:rPr>
                <w:b w:val="0"/>
                <w:sz w:val="17"/>
              </w:rPr>
            </w:r>
            <w:r>
              <w:rPr>
                <w:b w:val="0"/>
                <w:sz w:val="17"/>
              </w:rPr>
              <w:t>TO DO — spec in §15</w:t>
            </w:r>
          </w:p>
        </w:tc>
      </w:tr>
      <w:tr>
        <w:tc>
          <w:tcPr>
            <w:tcW w:type="dxa" w:w="4824"/>
          </w:tcPr>
          <w:p>
            <w:r>
              <w:rPr>
                <w:b w:val="0"/>
                <w:sz w:val="17"/>
              </w:rPr>
            </w:r>
            <w:r>
              <w:rPr>
                <w:b w:val="0"/>
                <w:sz w:val="17"/>
              </w:rPr>
              <w:t>Email signature (HTML)</w:t>
            </w:r>
          </w:p>
        </w:tc>
        <w:tc>
          <w:tcPr>
            <w:tcW w:type="dxa" w:w="4824"/>
          </w:tcPr>
          <w:p>
            <w:r>
              <w:rPr>
                <w:b w:val="0"/>
                <w:sz w:val="17"/>
              </w:rPr>
            </w:r>
            <w:r>
              <w:rPr>
                <w:b w:val="0"/>
                <w:sz w:val="17"/>
              </w:rPr>
              <w:t>TO DO — name, role, "Vytalix · Technology for Life", no phone until real</w:t>
            </w:r>
          </w:p>
        </w:tc>
      </w:tr>
      <w:tr>
        <w:tc>
          <w:tcPr>
            <w:tcW w:type="dxa" w:w="4824"/>
          </w:tcPr>
          <w:p>
            <w:r>
              <w:rPr>
                <w:b w:val="0"/>
                <w:sz w:val="17"/>
              </w:rPr>
            </w:r>
            <w:r>
              <w:rPr>
                <w:b w:val="0"/>
                <w:sz w:val="17"/>
              </w:rPr>
              <w:t>Icon library</w:t>
            </w:r>
          </w:p>
        </w:tc>
        <w:tc>
          <w:tcPr>
            <w:tcW w:type="dxa" w:w="4824"/>
          </w:tcPr>
          <w:p>
            <w:r>
              <w:rPr>
                <w:b w:val="0"/>
                <w:sz w:val="17"/>
              </w:rPr>
            </w:r>
            <w:r>
              <w:rPr>
                <w:b w:val="0"/>
                <w:sz w:val="17"/>
              </w:rPr>
              <w:t>PARTIAL — inline SVG in site</w:t>
            </w:r>
          </w:p>
        </w:tc>
      </w:tr>
      <w:tr>
        <w:tc>
          <w:tcPr>
            <w:tcW w:type="dxa" w:w="4824"/>
          </w:tcPr>
          <w:p>
            <w:r>
              <w:rPr>
                <w:b w:val="0"/>
                <w:sz w:val="17"/>
              </w:rPr>
            </w:r>
            <w:r>
              <w:rPr>
                <w:b w:val="0"/>
                <w:sz w:val="17"/>
              </w:rPr>
              <w:t>Photography</w:t>
            </w:r>
          </w:p>
        </w:tc>
        <w:tc>
          <w:tcPr>
            <w:tcW w:type="dxa" w:w="4824"/>
          </w:tcPr>
          <w:p>
            <w:r>
              <w:rPr>
                <w:b w:val="0"/>
                <w:sz w:val="17"/>
              </w:rPr>
            </w:r>
            <w:r>
              <w:rPr>
                <w:b w:val="0"/>
                <w:sz w:val="17"/>
              </w:rPr>
              <w:t>NONE — illustration only until commissioned</w:t>
            </w:r>
          </w:p>
        </w:tc>
      </w:tr>
      <w:tr>
        <w:tc>
          <w:tcPr>
            <w:tcW w:type="dxa" w:w="4824"/>
          </w:tcPr>
          <w:p>
            <w:r>
              <w:rPr>
                <w:b w:val="0"/>
                <w:sz w:val="17"/>
              </w:rPr>
            </w:r>
            <w:r>
              <w:rPr>
                <w:b w:val="0"/>
                <w:sz w:val="17"/>
              </w:rPr>
              <w:t>Name / trade-mark clearance</w:t>
            </w:r>
          </w:p>
        </w:tc>
        <w:tc>
          <w:tcPr>
            <w:tcW w:type="dxa" w:w="4824"/>
          </w:tcPr>
          <w:p>
            <w:r>
              <w:rPr>
                <w:b w:val="0"/>
                <w:sz w:val="17"/>
              </w:rPr>
            </w:r>
            <w:r>
              <w:rPr>
                <w:b w:val="0"/>
                <w:sz w:val="17"/>
              </w:rPr>
              <w:t>TO VALIDATE — blocks printed and registered assets</w:t>
            </w:r>
          </w:p>
        </w:tc>
      </w:tr>
      <w:tr>
        <w:tc>
          <w:tcPr>
            <w:tcW w:type="dxa" w:w="4824"/>
          </w:tcPr>
          <w:p>
            <w:r>
              <w:rPr>
                <w:b w:val="0"/>
                <w:sz w:val="17"/>
              </w:rPr>
            </w:r>
            <w:r>
              <w:rPr>
                <w:b w:val="0"/>
                <w:sz w:val="17"/>
              </w:rPr>
              <w:t>Domain</w:t>
            </w:r>
          </w:p>
        </w:tc>
        <w:tc>
          <w:tcPr>
            <w:tcW w:type="dxa" w:w="4824"/>
          </w:tcPr>
          <w:p>
            <w:r>
              <w:rPr>
                <w:b w:val="0"/>
                <w:sz w:val="17"/>
              </w:rPr>
            </w:r>
            <w:r>
              <w:rPr>
                <w:b w:val="0"/>
                <w:sz w:val="17"/>
              </w:rPr>
              <w:t>TO VALIDATE — no domain owned; placeholders in site</w:t>
            </w:r>
          </w:p>
        </w:tc>
      </w:tr>
      <w:tr>
        <w:tc>
          <w:tcPr>
            <w:tcW w:type="dxa" w:w="4824"/>
          </w:tcPr>
          <w:p>
            <w:r>
              <w:rPr>
                <w:b w:val="0"/>
                <w:sz w:val="17"/>
              </w:rPr>
            </w:r>
            <w:r>
              <w:rPr>
                <w:b w:val="0"/>
                <w:sz w:val="17"/>
              </w:rPr>
              <w:t>Brand governance</w:t>
            </w:r>
          </w:p>
        </w:tc>
        <w:tc>
          <w:tcPr>
            <w:tcW w:type="dxa" w:w="4824"/>
          </w:tcPr>
          <w:p>
            <w:r>
              <w:rPr>
                <w:b w:val="0"/>
                <w:sz w:val="17"/>
              </w:rPr>
            </w:r>
            <w:r>
              <w:rPr>
                <w:b w:val="0"/>
                <w:sz w:val="17"/>
              </w:rPr>
              <w:t>Founder approves any new claim; every claim must be traceable to FACTS_BASE</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