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09 — VYTALIX FUNDING STRATEGY</w:t>
      </w:r>
    </w:p>
    <w:p>
      <w:r>
        <w:rPr>
          <w:b/>
        </w:rPr>
        <w:t>Owner:</w:t>
      </w:r>
      <w:r>
        <w:t xml:space="preserve"> Fundraising Director · </w:t>
      </w:r>
      <w:r>
        <w:rPr>
          <w:b/>
        </w:rPr>
        <w:t>Status:</w:t>
      </w:r>
      <w:r>
        <w:t xml:space="preserve"> PROPOSED v1 (8 September 2026) · </w:t>
      </w:r>
      <w:r>
        <w:rPr>
          <w:b/>
        </w:rPr>
        <w:t>Governing file: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· </w:t>
      </w:r>
      <w:r>
        <w:rPr>
          <w:b/>
        </w:rPr>
        <w:t>Numbers from:</w:t>
      </w:r>
      <w:r>
        <w:t xml:space="preserve"> </w:t>
      </w:r>
      <w:r>
        <w:rPr>
          <w:rFonts w:ascii="Consolas" w:hAnsi="Consolas"/>
          <w:sz w:val="18"/>
        </w:rPr>
        <w:t>/docs/08_FINANCIAL_MODEL.md</w:t>
      </w:r>
      <w:r>
        <w:t xml:space="preserve"> (scenario model v1.1) · </w:t>
      </w:r>
      <w:r>
        <w:rPr>
          <w:b/>
        </w:rPr>
        <w:t>Structure from:</w:t>
      </w:r>
      <w:r>
        <w:t xml:space="preserve"> </w:t>
      </w:r>
      <w:r>
        <w:rPr>
          <w:rFonts w:ascii="Consolas" w:hAnsi="Consolas"/>
          <w:sz w:val="18"/>
        </w:rPr>
        <w:t>/docs/02_GROUP_STRUCTURE.md</w:t>
      </w:r>
      <w:r>
        <w:t xml:space="preserve"> · </w:t>
      </w:r>
      <w:r>
        <w:rPr>
          <w:b/>
        </w:rPr>
        <w:t>Investor assets:</w:t>
      </w:r>
      <w:r>
        <w:t xml:space="preserve"> </w:t>
      </w:r>
      <w:r>
        <w:rPr>
          <w:rFonts w:ascii="Consolas" w:hAnsi="Consolas"/>
          <w:sz w:val="18"/>
        </w:rPr>
        <w:t>/docs/10_INVESTOR_PROPOSITION.md</w:t>
      </w:r>
      <w:r>
        <w:t xml:space="preserve">, </w:t>
      </w:r>
      <w:r>
        <w:rPr>
          <w:rFonts w:ascii="Consolas" w:hAnsi="Consolas"/>
          <w:sz w:val="18"/>
        </w:rPr>
        <w:t>/assets/INVESTOR_ONE_PAGER.md</w:t>
      </w:r>
      <w:r>
        <w:t xml:space="preserve">, </w:t>
      </w:r>
      <w:r>
        <w:rPr>
          <w:rFonts w:ascii="Consolas" w:hAnsi="Consolas"/>
          <w:sz w:val="18"/>
        </w:rPr>
        <w:t>/assets/INVESTOR_PITCH_DECK.md</w:t>
      </w:r>
      <w:r>
        <w:t xml:space="preserve">, </w:t>
      </w:r>
      <w:r>
        <w:rPr>
          <w:rFonts w:ascii="Consolas" w:hAnsi="Consolas"/>
          <w:sz w:val="18"/>
        </w:rPr>
        <w:t>/investors/</w:t>
      </w:r>
    </w:p>
    <w:p>
      <w:pPr>
        <w:ind w:left="432"/>
      </w:pPr>
      <w:r>
        <w:rPr>
          <w:b/>
          <w:i/>
          <w:color w:val="4B5568"/>
        </w:rPr>
        <w:t>Truth standard.</w:t>
      </w:r>
      <w:r>
        <w:rPr>
          <w:i/>
          <w:color w:val="4B5568"/>
        </w:rPr>
        <w:t xml:space="preserve"> Vytalix is pre-formation: no entity, no revenue, no customers, no grants, no investors, no documented ownership of MaternaLink (FACTS_BASE §1). Nothing in this document is a record of money raised or promised. Every round, valuation, percentage and date is PROPOSED or ESTIMATE. All SEIS/EIS limits, reliefs and tax figures are </w:t>
      </w:r>
      <w:r>
        <w:rPr>
          <w:b/>
          <w:i/>
          <w:color w:val="4B5568"/>
        </w:rPr>
        <w:t>TO VALIDATE</w:t>
      </w:r>
      <w:r>
        <w:rPr>
          <w:i/>
          <w:color w:val="4B5568"/>
        </w:rPr>
        <w:t xml:space="preserve"> with an accountant and against gov.uk before any use with an investor. GBP throughout. Nothing here is legal, tax or investment advice.</w:t>
      </w:r>
    </w:p>
    <w:p>
      <w:pPr>
        <w:pStyle w:val="Heading2"/>
      </w:pPr>
      <w:r>
        <w:t>Executive view</w:t>
      </w:r>
    </w:p>
    <w:p>
      <w:pPr>
        <w:pStyle w:val="ListNumber"/>
      </w:pPr>
      <w:r>
        <w:rPr>
          <w:b/>
        </w:rPr>
        <w:t>The money follows the milestones, not the calendar.</w:t>
      </w:r>
      <w:r>
        <w:t xml:space="preserve"> Vytalix should raise three staged rounds — Pre-seed £250k–£500k (2027), Seed £1.5m–£3m (2028), Series A £6m–£12m (a 2029–30 decision) — and each is opened only when a short list of facts is TRUE (entity, IP, safety artefacts, design partner, paid pilot, evidence). Raising before the facts are true burns the best investors in a small pool.</w:t>
      </w:r>
    </w:p>
    <w:p>
      <w:pPr>
        <w:pStyle w:val="ListNumber"/>
      </w:pPr>
      <w:r>
        <w:rPr>
          <w:b/>
        </w:rPr>
        <w:t>Services and grants come first, and equity is sized from the model, not from ambition.</w:t>
      </w:r>
      <w:r>
        <w:t xml:space="preserve"> </w:t>
      </w:r>
      <w:r>
        <w:rPr>
          <w:rFonts w:ascii="Consolas" w:hAnsi="Consolas"/>
          <w:sz w:val="18"/>
        </w:rPr>
        <w:t>08_FINANCIAL_MODEL</w:t>
      </w:r>
      <w:r>
        <w:t xml:space="preserve"> shows a peak cash need of £229k (Conservative), £1.06m (Base) and £145k (High-growth) over 36 months, with months 2–5 the solvency pinch-point in every scenario. The Base pre-seed of £400k in month 4 covers the product-lead hire in month 7; the £2.0m seed in month 20 funds MaternaLink's build, evidence and team. Grants (£75k–£400k in the model) are upside, never load-bearing.</w:t>
      </w:r>
    </w:p>
    <w:p>
      <w:pPr>
        <w:pStyle w:val="ListNumber"/>
      </w:pPr>
      <w:r>
        <w:rPr>
          <w:b/>
        </w:rPr>
        <w:t>SEIS/EIS is the pre-seed engine.</w:t>
      </w:r>
      <w:r>
        <w:t xml:space="preserve"> UK angels expect relief; advance assurance must be applied for within weeks of incorporation (commonly cited limits: SEIS £250k per company and £200k per investor per year; EIS £12m lifetime — all TO VALIDATE). Because the Base pre-seed exceeds the SEIS cap, it is structured as SEIS first (£250k) then EIS (£150k), and consultancy-heavy trading substance is the eligibility risk to design around.</w:t>
      </w:r>
    </w:p>
    <w:p>
      <w:pPr>
        <w:pStyle w:val="ListNumber"/>
      </w:pPr>
      <w:r>
        <w:rPr>
          <w:b/>
        </w:rPr>
        <w:t>Dilution is planned in writing before the first conversation.</w:t>
      </w:r>
      <w:r>
        <w:t xml:space="preserve"> Illustrative cap table: founder 100% → ~79% after the MaternaLink IP settlement and option pool → ~68% after pre-seed → ~51% after seed → ~37% after Series A, with the IP counterparty vesting from ~10% to ~4%, a 12% pool, advisors inside the pool, and investors holding ~14% / 25% / 29% per round (ESTIMATE; pre-money placeholders £2.5m / £6m / £20m TO VALIDATE against comparable rounds).</w:t>
      </w:r>
    </w:p>
    <w:p>
      <w:pPr>
        <w:pStyle w:val="ListNumber"/>
      </w:pPr>
      <w:r>
        <w:rPr>
          <w:b/>
        </w:rPr>
        <w:t>Four raise-killers must be closed before any investor is called:</w:t>
      </w:r>
      <w:r>
        <w:t xml:space="preserve"> undocumented MaternaLink IP, unvalidated clinical claims from the 2025 deck, no legal entity, and the Ekiti pricing (£300/woman/year, £4.5m–£36m phases). Each is fixable in 30–60 days; none is fixable after an investor has found it in diligence.</w:t>
      </w:r>
    </w:p>
    <w:p>
      <w:pPr>
        <w:pStyle w:val="Heading2"/>
      </w:pPr>
      <w:r>
        <w:t>1. Where the money can come from — assessment of every route</w:t>
      </w:r>
    </w:p>
    <w:p>
      <w:r>
        <w:t>Scoring: Fit (does it suit a pre-formation UK health-tech with a services cash layer and a maternal-health product in development?), Timing (when it is realistically available), Cost (dilution, time, conditions), Verdict.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Route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 for Vytalix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Fit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Timing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/ conditions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Bootstrapping (founder cash + services revenue)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Opening cash £25k–£50k (founder + director's loan, TO VALIDATE) plus Advisory/Consulting invoices from month 2. Base services revenue £166k in FY2027 (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§3.2).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Very high — it is the only money available today and it proves demand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 (the binding constraint); no dilution; services-only ceiling (Conservative scenario)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Primary until pre-seed closes; permanent cash layer thereafter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Angels (SEIS/EIS)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£25k–£100k cheques from health-tech, women's-health, NHS-experienced and diaspora angels; syndicates (GC Angels, NorthInvest and others in </w:t>
            </w:r>
            <w:r>
              <w:rPr>
                <w:rFonts w:ascii="Consolas" w:hAnsi="Consolas"/>
                <w:b w:val="0"/>
                <w:sz w:val="17"/>
              </w:rPr>
              <w:t>/investors/TOP_25_INVESTORS.md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for pre-seed; angels accept pre-revenue if entity, IP and relief are in place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2–6 after incorporation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11–15% dilution for £250k–£500k (ESTIMATE); relief-dependent, so advance assurance is a gating item; 25–40 conversations per close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Lead source for pre-seed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Venture capital (pre-seed/seed funds)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pre-seed funds (Ada Ventures, Octopus first-cheque, LocalGlobe, AlbionVC health hub, o2h) and Africa-focused funds (TLcom, Ventures Platform, Founders Factory Africa)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 at pre-seed (most want a team of 2–3 and a product); high at seed once pilot evidence exists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(2028) realistically; a pre-seed VC lead is possible but not required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20–30% per round; governance rights; expectation of venture-scale outcomes that a services-heavy company must justify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Seed lead; optional pre-seed participant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Strategic investment (corporates)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EPR vendors (System C, K2, Magentus), pharma women's-health units, telecoms/insurers in Nigeria (MTN, Airtel, HMOs), UK benefits platforms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now (nothing to be strategic about); medium at Series 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2029+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Channel conflict, exclusivity demands, signalling risk if the strategic passes later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Not before Series A; treat as partner, not investor, until then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Innovate UK Smart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Business-led R&amp;D grants; open competitions (round timing and thresholds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once incorporated; needs a credible R&amp;D plan (offline-first architecture, safety-by-design)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bid month 3–6; award 4–6 months later if won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Match funding (typically 30–55% of eligible costs for SMEs — TO VALIDATE); competitive (single-digit to ~20% success, ESTIMATE); bid-writing ~15 founder days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Bid 1 or 2 in year 1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SBRI Healthcare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NHS-themed competitions (100%-funded development contracts, TO VALIDATE current structure); Top-25 investor #1 by fit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High </w:t>
            </w:r>
            <w:r>
              <w:rPr>
                <w:b/>
                <w:sz w:val="17"/>
              </w:rPr>
              <w:t>if</w:t>
            </w:r>
            <w:r>
              <w:rPr>
                <w:b w:val="0"/>
                <w:sz w:val="17"/>
              </w:rPr>
              <w:t xml:space="preserve"> a competition theme matches maternity, health inequalities or care coordination; the NHS "customer" framing suits MaternaLink v1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Themed calls; check calendar quarterly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Requires an NHS problem statement and, in practice, an NHS clinical sponsor letter; Phase 1 typically ~£100k (ESTIMATE,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Bid when a theme fits; do not force-fit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NIHR i4i (Product Development Award; i4i Connect)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Translational funding for medical technologies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Eligibility caveats:</w:t>
            </w:r>
            <w:r>
              <w:rPr>
                <w:b w:val="0"/>
                <w:sz w:val="17"/>
              </w:rPr>
              <w:t xml:space="preserve"> i4i requires an NHS or academic partner and typically funds technology with a clinical claim pathway; Vytalix's v1 is deliberately non-diagnostic, and it has no NHS partner (KNOWN). i4i Connect (SME early-stage) is the only plausible entry and only after a design partner exists (TO VALIDATE current schemes)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before month 9–12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Consortium building; ethics/HRA processes; reporting burden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 2, only with an NHS partner; not in the year-1 plan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Wellcome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funding (Discovery Awards, Mental Health, Climate &amp; Health etc.)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Low as a </w:t>
            </w:r>
            <w:r>
              <w:rPr>
                <w:b w:val="0"/>
                <w:i/>
                <w:sz w:val="17"/>
              </w:rPr>
              <w:t>company</w:t>
            </w:r>
            <w:r>
              <w:rPr>
                <w:b w:val="0"/>
                <w:sz w:val="17"/>
              </w:rPr>
              <w:t xml:space="preserve"> funder — Wellcome funds researchers and institutions; a route exists only via a university co-applicant for the v3 research track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2028+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Academic lead required; Vytalix as collaborator/subcontractor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Watch; approach via a university partner only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Grand Challenges Canada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and transition-to-scale funding for LMIC health innovations; Top-25 investor #9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Medium–high for the Nigeria evidence programme (maternal, newborn health is a stated priority — TO VALIDATE current calls)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Calls open periodically; first application after a Nigerian implementing partner is signed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Requires an LMIC partner and an evidence plan; CAD-denominated; reporting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Bid in year 2 with a Nigeria partner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— Gates Foundation / Grand Challenges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Large, mostly institutional maternal/newborn programmes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direct fit for a UK pre-seed company; realistic only as a sub-grantee of an implementing NGO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2028+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Consortium; long cycles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Sub-grantee route only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Grants / programmes — MSD for Mothers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Funds maternal-health programmes and social enterprises; funds mDoc's Digital Mom Project in Ekiti and Lagos (VERIFIED)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 — and doubly important: the funder of the Ekiti incumbent. A conversation about complementarity (facility-side coordination, DHIS2 export) is worth more than a competing bid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Conversation month 6–9; any bid year 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framing; partner-first model (</w:t>
            </w:r>
            <w:r>
              <w:rPr>
                <w:rFonts w:ascii="Consolas" w:hAnsi="Consolas"/>
                <w:b w:val="0"/>
                <w:sz w:val="17"/>
              </w:rPr>
              <w:t>05_MARKET_STRATEGY</w:t>
            </w:r>
            <w:r>
              <w:rPr>
                <w:b w:val="0"/>
                <w:sz w:val="17"/>
              </w:rPr>
              <w:t xml:space="preserve"> §2)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Relationship first, bid later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Other UK government / public funding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Start Up Loans (British Business Bank, personal loan to founder, TO VALIDATE terms); R&amp;D tax relief (upside, unmodelled); Innovate UK Business Growth (advisory, not cash); NHS Clinical Entrepreneur Programme (network); Health Innovation Network programmes; local growth hubs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Medium; small amounts; mostly credibility and network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1–12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Personal liability (Start Up Loans); administrative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Use selectively; do not depend on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Impact investment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funds and DFIs with women's-health or SSA health mandates (Global Innovation Fund, Villgro Africa, GCC transition funds; UK impact angels)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for the Nigeria/Kenya evidence programme; aligned with patient timelines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and later; some at pre-seed via angel networks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Outcome metrics and reporting; sometimes concessional; sometimes slow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Co-lead at seed; target for pre-seed angels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Healthcare / women's-health specialist investors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Goddess Gaia Ventures, Nina Capital, AlbionVC health, Cambridge Enterprise Seed Funds and equivalents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— they price the thesis correctly and tolerate regulatory timelines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 participation; seed lead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Rigorous clinical and regulatory diligence — exactly why the raise-killers must be closed first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Priority list for seed; early relationship-building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Revenue-funded growth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Retainers (each ≈ £91k of three-year EBITDA held Y2–Y3), consulting projects, e-learning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— and the model says it is the best money in the company (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§7)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capacity ceiling; cannot fund MaternaLink's team (Conservative scenario ends month 36 with £21k)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Permanent; funds the company, not the product build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Debt / revenue-based financing / convertibles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Bank debt (unavailable pre-revenue), RBF (needs recurring revenue), ASA/convertible notes as a bridge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ASA (Advance Subscription Agreement) is useful as an SEIS/EIS-compatible bridge if the pre-seed is slow (TO VALIDATE conditions — 6-month longstop, no interest, no redemption)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Bridge only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Discount/valuation cap negotiations; SEIS/EIS compatibility rules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Bridge instrument only</w:t>
            </w:r>
          </w:p>
        </w:tc>
      </w:tr>
    </w:tbl>
    <w:p/>
    <w:p>
      <w:r>
        <w:rPr>
          <w:b/>
        </w:rPr>
        <w:t>Conclusion.</w:t>
      </w:r>
      <w:r>
        <w:t xml:space="preserve"> The stack is: </w:t>
      </w:r>
      <w:r>
        <w:rPr>
          <w:b/>
        </w:rPr>
        <w:t>services + founder cash (now) → SEIS/EIS angels pre-seed (2027) with one or two grant bids in flight → impact/health-tech seed (2028) on pilot evidence, with Grand Challenges Canada / SBRI as non-dilutive complements → Series A decision (2029–30) with a strategic as a possible participant.</w:t>
      </w:r>
      <w:r>
        <w:t xml:space="preserve"> This is FACTS_BASE A7 with the amounts and gates made explicit.</w:t>
      </w:r>
    </w:p>
    <w:p>
      <w:pPr>
        <w:pStyle w:val="Heading2"/>
      </w:pPr>
      <w:r>
        <w:t>2. SEIS/EIS — the pre-seed engine (every figure TO VALIDATE)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Commonly cited position (TO VALIDATE against gov.uk / accountant before use)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Implication for Vytalix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company limit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£250,000 lifetime per company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Base pre-seed of £400k must be split: SEIS £250k + EIS £150k. Conservative £250k can be all SEIS.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investor limit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£200,000 per investor per tax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single angel can take the whole SEIS tranche; plan for 5–12 SEIS investors.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company conditions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Trading for under 3 years; gross assets under £350k before the share issue; fewer than 25 full-time-equivalent employees; qualifying trade; UK permanent establishment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qualifies on age, assets and headcount at incorporation. Qualifying trade is the risk (next row).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Excluded / scrutinised activities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Certain financial, legal, property and royalty/licence-fee activities are excluded; management consultancy is generally not excluded, but HMRC examines trading substance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Present the application as a </w:t>
            </w:r>
            <w:r>
              <w:rPr>
                <w:b/>
                <w:sz w:val="17"/>
              </w:rPr>
              <w:t>technology company with an R&amp;D product programme and a related services trade</w:t>
            </w:r>
            <w:r>
              <w:rPr>
                <w:b w:val="0"/>
                <w:sz w:val="17"/>
              </w:rPr>
              <w:t xml:space="preserve">, not as "a consultancy that hopes to build a product". Keep MaternaLink R&amp;D spend visible in the plan. If the IP route is a </w:t>
            </w:r>
            <w:r>
              <w:rPr>
                <w:b/>
                <w:sz w:val="17"/>
              </w:rPr>
              <w:t>licence with royalties</w:t>
            </w:r>
            <w:r>
              <w:rPr>
                <w:b w:val="0"/>
                <w:sz w:val="17"/>
              </w:rPr>
              <w:t xml:space="preserve"> rather than assignment, take specific advice on "receiving royalties or licence fees" exclusions.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Income-tax relief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50%; EIS 30% of the amount invested (subject to annual caps); CGT exemption on exit after 3 years; loss relief; SEIS reinvestment relief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Explains why UK angels will not invest without advance assurance. Never say "SEIS-approved" — say "advance assurance applied for / received" as true.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EIS limits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£5m per 12 months; £12m lifetime (higher for knowledge-intensive companies — TO VALIDATE thresholds and KIC test); within 7 years of first commercial sale (10 for KIC)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Seed (£2m) and even Series A (£6m–£12m) can be EIS-eligible in part; the 7-year clock starts at first commercial sale, which the services trade may trigger in 2027 — </w:t>
            </w:r>
            <w:r>
              <w:rPr>
                <w:b/>
                <w:sz w:val="17"/>
              </w:rPr>
              <w:t>take advice on whether services invoices start the clock</w:t>
            </w:r>
            <w:r>
              <w:rPr>
                <w:b w:val="0"/>
                <w:sz w:val="17"/>
              </w:rPr>
              <w:t>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Share conditions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Full-risk ordinary shares; no preferential rights to assets on a winding-up; no linked loans; money must be spent on the qualifying activity within a set period; no pre-arranged exit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ordinary share class until the seed (</w:t>
            </w:r>
            <w:r>
              <w:rPr>
                <w:rFonts w:ascii="Consolas" w:hAnsi="Consolas"/>
                <w:b w:val="0"/>
                <w:sz w:val="17"/>
              </w:rPr>
              <w:t>02</w:t>
            </w:r>
            <w:r>
              <w:rPr>
                <w:b w:val="0"/>
                <w:sz w:val="17"/>
              </w:rPr>
              <w:t xml:space="preserve"> §2.1). Investors' side letters must not create "linked" arrangements.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Advance assurance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Voluntary HMRC opinion; needs a business plan, financials, articles, and named prospective investors (a list of intended investors is now expected — TO VALIDATE current requirement)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Apply in </w:t>
            </w:r>
            <w:r>
              <w:rPr>
                <w:b/>
                <w:sz w:val="17"/>
              </w:rPr>
              <w:t>month 1–2 after incorporation</w:t>
            </w:r>
            <w:r>
              <w:rPr>
                <w:b w:val="0"/>
                <w:sz w:val="17"/>
              </w:rPr>
              <w:t xml:space="preserve"> with the accountant; expect 4–8 weeks (ESTIMATE). Pipeline conversations can run in parallel provided the status is described truthfully.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Risk-to-capital condition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company must have growth and development objectives and the investment must carry real risk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Satisfied by the product programme; document it in the plan submitted.</w:t>
            </w:r>
          </w:p>
        </w:tc>
      </w:tr>
    </w:tbl>
    <w:p/>
    <w:p>
      <w:r>
        <w:rPr>
          <w:b/>
        </w:rPr>
        <w:t>Structure PROPOSED:</w:t>
      </w:r>
      <w:r>
        <w:t xml:space="preserve"> SEIS tranche closes first (month 3–4), EIS tranche second (month 4–6) — because the SEIS shares must be issued before any EIS shares on the same day or earlier (ordering rule — TO VALIDATE). An ASA is the fallback if closing slips: it keeps SEIS/EIS compatibility only if drafted to HMRC's conditions (no interest, no refund, conversion within six months — TO VALIDATE).</w:t>
      </w:r>
    </w:p>
    <w:p>
      <w:pPr>
        <w:pStyle w:val="Heading2"/>
      </w:pPr>
      <w:r>
        <w:t>3. Staged rounds — target, use, milestones, investors, thesis, dilution</w:t>
      </w:r>
    </w:p>
    <w:p>
      <w:pPr>
        <w:pStyle w:val="Heading3"/>
      </w:pPr>
      <w:r>
        <w:t>3.0 How the round sizes tie to the cash need in 08_FINANCIAL_MODEL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 output (Base unless stated)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Round sizing consequence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Minimum cash before pre-seed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 (month 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pre-seed must close by month 4–6 or the founder draw and the product-lead hire (month 7) are deferred. The first 90 days are the solvency pinch-point in every scenario.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need to month 12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~£36k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Services could carry a founder-only company; the pre-seed is buying the </w:t>
            </w:r>
            <w:r>
              <w:rPr>
                <w:b/>
                <w:sz w:val="17"/>
              </w:rPr>
              <w:t>product lead, safety artefacts and MVP</w:t>
            </w:r>
            <w:r>
              <w:rPr>
                <w:b w:val="0"/>
                <w:sz w:val="17"/>
              </w:rPr>
              <w:t>, not survival.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need to month 24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~£253k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£400k pre-seed with £166k FY2027 services revenue covers this with margin — hence £400k, not £250k, in Base.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Peak cash need to month 36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£1.06m (still growing ~£65k/month)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seed is sized at ~2× the need to month 36 (£2.0m) to provide 18–24 months of post-seed runway; closes month 36 with £1.42m (23 months).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Conservative peak need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£229k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 £250k SEIS-only pre-seed survives 36 months </w:t>
            </w:r>
            <w:r>
              <w:rPr>
                <w:b/>
                <w:sz w:val="17"/>
              </w:rPr>
              <w:t>only</w:t>
            </w:r>
            <w:r>
              <w:rPr>
                <w:b w:val="0"/>
                <w:sz w:val="17"/>
              </w:rPr>
              <w:t xml:space="preserve"> by not hiring a second technical salary — the services-only outcome.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High-growth peak need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£145k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Grants (£400k) and early pilots reduce the equity need; the £3.0m seed in month 14 is a growth decision, not a survival one.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 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needed for solvency in any scenario within 36 months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month 30–42 growth-capital decision, sized £6m–£12m to scale to 5–10 UK sites and 2–3 African programmes (ESTIMATE).</w:t>
            </w:r>
          </w:p>
        </w:tc>
      </w:tr>
    </w:tbl>
    <w:p/>
    <w:p>
      <w:r>
        <w:rPr>
          <w:b/>
        </w:rPr>
        <w:t>Reconciliation note.</w:t>
      </w:r>
      <w:r>
        <w:t xml:space="preserve"> </w:t>
      </w:r>
      <w:r>
        <w:rPr>
          <w:rFonts w:ascii="Consolas" w:hAnsi="Consolas"/>
          <w:sz w:val="18"/>
        </w:rPr>
        <w:t>02_GROUP_STRUCTURE</w:t>
      </w:r>
      <w:r>
        <w:t xml:space="preserve"> §2.2 and </w:t>
      </w:r>
      <w:r>
        <w:rPr>
          <w:rFonts w:ascii="Consolas" w:hAnsi="Consolas"/>
          <w:sz w:val="18"/>
        </w:rPr>
        <w:t>/assets/BUSINESS_PLAN.md</w:t>
      </w:r>
      <w:r>
        <w:t xml:space="preserve"> describe a £150k–£300k pre-seed in months 9–15; </w:t>
      </w:r>
      <w:r>
        <w:rPr>
          <w:rFonts w:ascii="Consolas" w:hAnsi="Consolas"/>
          <w:sz w:val="18"/>
        </w:rPr>
        <w:t>08_FINANCIAL_MODEL</w:t>
      </w:r>
      <w:r>
        <w:t xml:space="preserve"> v1.1 sizes it at £250k–£500k in months 3–6. This document follows the financial model. The earlier figures should be updated to £250k–£500k (with the earliest close in month 4 in Base and the milestone gates below) when those documents are next revised.</w:t>
      </w:r>
    </w:p>
    <w:p>
      <w:pPr>
        <w:pStyle w:val="Heading3"/>
      </w:pPr>
      <w:r>
        <w:t>3.1 Pre-seed — £250k to £500k (PROPOSED; Base £400k in month 4, i.e. April 2027)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£250k (Conservative, all SEIS) / </w:t>
            </w:r>
            <w:r>
              <w:rPr>
                <w:b/>
                <w:sz w:val="17"/>
              </w:rPr>
              <w:t>£400k (Base: £250k SEIS + £150k EIS)</w:t>
            </w:r>
            <w:r>
              <w:rPr>
                <w:b w:val="0"/>
                <w:sz w:val="17"/>
              </w:rPr>
              <w:t xml:space="preserve"> / £500k (High-growth). Close in month 3–6 of trading.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Instrument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Ordinary shares at a priced round (preferred by SEIS angels) or an SEIS/EIS-compatible ASA if the lead is slow. One share class.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Valuation (ESTIMATE, TO VALIDATE against comparable rounds)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Pre-money placeholder £2.0m–£3.0m; £2.5m used in the illustrative cap table. </w:t>
            </w:r>
            <w:r>
              <w:rPr>
                <w:rFonts w:ascii="Consolas" w:hAnsi="Consolas"/>
                <w:b w:val="0"/>
                <w:sz w:val="17"/>
              </w:rPr>
              <w:t>02</w:t>
            </w:r>
            <w:r>
              <w:rPr>
                <w:b w:val="0"/>
                <w:sz w:val="17"/>
              </w:rPr>
              <w:t xml:space="preserve"> §2.2 notes a £1.5m–£4m range for a pre-revenue UK health-tech at this stage.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Use of funds (Base £400k, 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lead/CTO from month 7 (£65k salary + on-costs, ~£55k in-year) · MVP build and penetration test (contractors, ~£90k) · Clinical Safety Officer and clinical advisory group (~£25k) · DPIA, DSPT, Cyber Essentials, ICO, DTAC readiness (~£15k) · Discovery research and co-design in both markets, incl. paid community partners (~£30k) · Legal/IP/trademark completion and SEIS/EIS (~£10k) · Grant match funding reserve (~£30k) · Founder salary top-up to £48k (~£25k of the year) · Working capital and 6-month buffer (~£120k).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Milestones that must be TRUE before opening the raise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1. Vytalix incorporated in England &amp; Wales, bank account open, accountant appointed (VERIFIED absence today). 2. MaternaLink IP assignment deed (or exclusive licence with option) </w:t>
            </w:r>
            <w:r>
              <w:rPr>
                <w:b/>
                <w:sz w:val="17"/>
              </w:rPr>
              <w:t>executed</w:t>
            </w:r>
            <w:r>
              <w:rPr>
                <w:b w:val="0"/>
                <w:sz w:val="17"/>
              </w:rPr>
              <w:t xml:space="preserve">; prototype audit report showing authorship, third-party components and no real patient data. 3. The 2025 predictive/diagnostic claims retired from every external asset; v1 intended-use statement adopted. 4. SEIS/EIS advance assurance </w:t>
            </w:r>
            <w:r>
              <w:rPr>
                <w:b/>
                <w:sz w:val="17"/>
              </w:rPr>
              <w:t>submitted</w:t>
            </w:r>
            <w:r>
              <w:rPr>
                <w:b w:val="0"/>
                <w:sz w:val="17"/>
              </w:rPr>
              <w:t xml:space="preserve"> (say "applied for"). 5. At least one signed services engagement (evidence the founder can sell). 6. Data room v1 and one-pager ready; advisory board of at least two named advisers who have consented to be named.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Milestones that make the raise easy (target, not gate)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signed services engagements (£15k–£30k contracted); one UK maternity service in discovery conversations towards an unpaid design partnership; one grant bid submitted; a published, sourced report.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type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SEIS/EIS angels (health-tech, NHS clinical/digital leaders, women's-health, Nigerian diaspora professionals in the UK); angel syndicates (GC Angels, NorthInvest, others); one or two pre-seed funds as participants (Ada Ventures, Octopus first-cheque, o2h) if a lead emerges; university seed funds only if a research link exists.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thesis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"A founder-led company that funds itself from services while building, with safety artefacts and honest evidence, a non-diagnostic maternal care-coordination platform for the NHS and low-connectivity settings — in a category where the incumbents are records systems, free charity apps or donor-funded messaging, and none owns coordination and handover."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What the pre-seed buys the investor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The conversion of MaternaLink from a concept into a </w:t>
            </w:r>
            <w:r>
              <w:rPr>
                <w:b/>
                <w:sz w:val="17"/>
              </w:rPr>
              <w:t>licensable asset with artefacts</w:t>
            </w:r>
            <w:r>
              <w:rPr>
                <w:b w:val="0"/>
                <w:sz w:val="17"/>
              </w:rPr>
              <w:t>: audited codebase owned by the company, safety case, DPIA, DTAC readiness, an MVP, a design partner and a service-evaluation protocol. These are the seed-round gates, so the pre-seed is priced on reaching them.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Dilution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11.1% (£250k at £2.0m pre) to 16.7% (£500k at £2.5m pre); </w:t>
            </w:r>
            <w:r>
              <w:rPr>
                <w:b/>
                <w:sz w:val="17"/>
              </w:rPr>
              <w:t>13.8% for £400k at £2.5m pre</w:t>
            </w:r>
            <w:r>
              <w:rPr>
                <w:b w:val="0"/>
                <w:sz w:val="17"/>
              </w:rPr>
              <w:t xml:space="preserve"> in the illustrative table.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Alternatives if it does not close by month 6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Cut founder draw; defer the product lead; run on services (Conservative path); ASA bridge from 2–3 committed angels; Start Up Loan (personal); prioritise an Innovate UK Smart bid; re-open in month 9–12 with more evidence. Rule from 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§4.1: </w:t>
            </w:r>
            <w:r>
              <w:rPr>
                <w:b/>
                <w:sz w:val="17"/>
              </w:rPr>
              <w:t>the product-lead hire must not precede the money.</w:t>
            </w:r>
          </w:p>
        </w:tc>
      </w:tr>
    </w:tbl>
    <w:p/>
    <w:p>
      <w:pPr>
        <w:pStyle w:val="Heading3"/>
      </w:pPr>
      <w:r>
        <w:t>3.2 Seed — £1.5m to £3m (PROPOSED; Base £2.0m in month 20, i.e. August 2028; High-growth £3.0m in month 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£1.5m (floor that funds 18 months of the Base build) / </w:t>
            </w:r>
            <w:r>
              <w:rPr>
                <w:b/>
                <w:sz w:val="17"/>
              </w:rPr>
              <w:t>£2.0m (Base)</w:t>
            </w:r>
            <w:r>
              <w:rPr>
                <w:b w:val="0"/>
                <w:sz w:val="17"/>
              </w:rPr>
              <w:t xml:space="preserve"> / £3.0m (High-growth, only if the pilot evidence and pipeline justify it). EIS-eligible in part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Instrument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Priced round; first preference share class acceptable if the lead requires (1× non-participating; no ratchets); pool top-up to ~10% post-money is a normal ask — model it.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Valuation (ESTIMATE, placeholder)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£5m–£8m pre-money; £6m used in the illustrative cap table. Priced on evidence and pipeline, not on FY2028 revenue (~£488k in Base, 59% services).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Use of funds (Base £2.0m over ~24 months, 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Engineering team: Developer 2, BD lead, programme manager (Nigeria), clinical lead (~£560k) · Implementation contractors and technology at scale (~£500k) · v1.1–v2.2 build: WhatsApp/USSD/voice channels, Yoruba/Hausa/Igbo/Pidgin content, DHIS2 export, FHIR read facade, EPR export interfaces (~£250k) · UK feasibility study (2 sites) and multi-site formal evaluation; Nigeria pilot (1–2 LGAs, 500–2,000 women) with ethics approvals (~£300k) · Compliance: DSPT, Cyber Essentials Plus, DTAC assessment, NDPA registration, device-qualification decision (G8) (~£90k) · Marketing, content and the second e-learning tranche (~£150k) · Buffer (~£150k). Non-people opex in 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rises to ~£76k/month by FY2029 — that is this money being deployed.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Milestones that must be TRUE before opening the raise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1. MVP built, penetration-tested and in use in a </w:t>
            </w:r>
            <w:r>
              <w:rPr>
                <w:b/>
                <w:sz w:val="17"/>
              </w:rPr>
              <w:t>registered UK service evaluation</w:t>
            </w:r>
            <w:r>
              <w:rPr>
                <w:b w:val="0"/>
                <w:sz w:val="17"/>
              </w:rPr>
              <w:t xml:space="preserve"> (n ≈ 50–150) under DCB0160 with a trust Clinical Safety Officer — or, if the UK slips, a Nigeria NGO cohort with NHREC-approved evaluation. 2. </w:t>
            </w:r>
            <w:r>
              <w:rPr>
                <w:b/>
                <w:sz w:val="17"/>
              </w:rPr>
              <w:t>One paid pilot signed</w:t>
            </w:r>
            <w:r>
              <w:rPr>
                <w:b w:val="0"/>
                <w:sz w:val="17"/>
              </w:rPr>
              <w:t xml:space="preserve"> (Base: month 13, £75k/yr ESTIMATE; private maternity, NGO programme or NHS trust). 3. Safety-artefact pack complete: intended-use, DCB0129 hazard log, DPIA, DTAC self-assessment, Cyber Essentials. 4. Team of three or more (founder, product lead/CTO, developer) with the clinical lead at least contracted. 5. Services revenue at run-rate ≥ £15k/month with two retainers (the cash layer proves itself). 6. A documented Nigeria path: signed implementing-partner agreement or state MoU </w:t>
            </w:r>
            <w:r>
              <w:rPr>
                <w:b/>
                <w:sz w:val="17"/>
              </w:rPr>
              <w:t>in Vytalix's name</w:t>
            </w:r>
            <w:r>
              <w:rPr>
                <w:b w:val="0"/>
                <w:sz w:val="17"/>
              </w:rPr>
              <w:t>, and the Ekiti go/no-go decision minuted. 7. Clean cap table: IP settlement vested and undisputed; pre-seed shares issued with SEIS/EIS compliance statements filed.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type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Impact and health-tech seed funds as lead (AlbionVC health, Ada Ventures, Nina Capital, Goddess Gaia Ventures, Octopus Ventures health, Cambridge Enterprise if research link); Africa-focused funds as co-investors (TLcom, Ventures Platform, Founders Factory Africa, Villgro Africa); Global Innovation Fund and Grand Challenges Canada transition-to-scale as non-dilutive complements; pre-seed angels following.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thesis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"Evidence exists: a UK service evaluation, a paid pilot and a Nigerian cohort show the coordination layer is feasible, acceptable and safe. The seed scales the evidence programme to a multi-site formal evaluation and converts pilots to licences in a UK market of ~120 trusts (ESTIMATE) and an African programme market priced per woman — with a services business that already pays the overhead."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Dilution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20% (£1.5m at £6m pre) to 33% (£3m at £6m pre); </w:t>
            </w:r>
            <w:r>
              <w:rPr>
                <w:b/>
                <w:sz w:val="17"/>
              </w:rPr>
              <w:t>25% for £2.0m at £6m pre</w:t>
            </w:r>
            <w:r>
              <w:rPr>
                <w:b w:val="0"/>
                <w:sz w:val="17"/>
              </w:rPr>
              <w:t xml:space="preserve"> in the illustrative table, before pool top-up.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Smaller £750k–£1m extension from pre-seed angels and impact investors (buys 12 months of the Base build without the Nigeria team); SBRI Healthcare Phase 1/2 contract or Grand Challenges Canada seed to fund the evidence programme; slow the cost base (the 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§6.3 rule: do not scale the MaternaLink cost base until go-live is contractually dated); services-led Conservative path with MaternaLink as a licensed evidence programme.</w:t>
            </w:r>
          </w:p>
        </w:tc>
      </w:tr>
    </w:tbl>
    <w:p/>
    <w:p>
      <w:pPr>
        <w:pStyle w:val="Heading3"/>
      </w:pPr>
      <w:r>
        <w:t>3.3 Series A — £6m to £12m (PROPOSED; a month 30–42 decision, i.e. mid-2029 to mid-2030; not in the 36-month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Target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£6m–£12m, sized at the time from a refreshed model. Not required for solvency in any 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scenario within 36 months (revision-log item 4).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Valuation (placeholder only)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£15m–£30m pre-money (ESTIMATE; £20m used in the illustrative table). Wholly dependent on ARR, evidence and pipeline at the time; do not cite externally.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Use of funds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Scale to 5–10 UK trusts and 2–3 African state/NGO programmes; in-country teams (Nigeria, Kenya); EPR integrations with the three UK maternity-record vendors; regulatory/QA lead and ISO 13485 if G8/G10 conclude "device"; the v3 research programme (data partnerships, ethics, prospective validation, MHRA SaMD route) — a separate, ring-fenced budget; group restructuring if the hive-down triggers in </w:t>
            </w:r>
            <w:r>
              <w:rPr>
                <w:rFonts w:ascii="Consolas" w:hAnsi="Consolas"/>
                <w:b w:val="0"/>
                <w:sz w:val="17"/>
              </w:rPr>
              <w:t>02</w:t>
            </w:r>
            <w:r>
              <w:rPr>
                <w:b w:val="0"/>
                <w:sz w:val="17"/>
              </w:rPr>
              <w:t xml:space="preserve"> §1.3 are met.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Milestones that must be TRUE before opening the raise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 MaternaLink ARR in the £0.4m–£0.9m range (</w:t>
            </w:r>
            <w:r>
              <w:rPr>
                <w:rFonts w:ascii="Consolas" w:hAnsi="Consolas"/>
                <w:b w:val="0"/>
                <w:sz w:val="17"/>
              </w:rPr>
              <w:t>04</w:t>
            </w:r>
            <w:r>
              <w:rPr>
                <w:b w:val="0"/>
                <w:sz w:val="17"/>
              </w:rPr>
              <w:t xml:space="preserve"> §23 High-growth scenario) or ≥ 3 UK sites and one state-scale programme (10,000+ women) on multi-year contracts. 2. Multi-site formal evaluation reporting process outcomes ("associated with" language). 3. Net revenue retention and pilot-to-licence conversion demonstrated on at least two conversions. 4. Full-time team of ~10 with clinical, regulatory and commercial leads. 5. Africa willingness-to-pay validated at ≥ £6/woman/year or a donor-funded model that covers the fixed team (the "single largest long-run unknown", 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§7). 6. Clean regulatory position: documented device-qualification decision; DTAC passed at a trust; NDPA compliance.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type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and impact growth funds (UK and pan-European); DFIs for the Africa programme; a strategic (EPR vendor, pharma women's health, telecom/insurer) as a minority participant with no exclusivity.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Investor thesis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"A vendor-neutral coordination layer with evidence and contracts in two health systems, an integration footprint with the UK maternity-record oligopoly, a repeatable partner-first Africa model, and an optional research track towards validated risk insight."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Dilution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23% (£6m at £20m pre) to 38% (£12m at £20m pre); </w:t>
            </w:r>
            <w:r>
              <w:rPr>
                <w:b/>
                <w:sz w:val="17"/>
              </w:rPr>
              <w:t>28.6% for £8m at £20m pre</w:t>
            </w:r>
            <w:r>
              <w:rPr>
                <w:b w:val="0"/>
                <w:sz w:val="17"/>
              </w:rPr>
              <w:t xml:space="preserve"> in the illustrative table.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Stay at seed-scale and grow on revenue (the model's High-growth scenario is cash-generative from month 31); strategic partnership/channel deal instead of equity; regional exit (§ </w:t>
            </w:r>
            <w:r>
              <w:rPr>
                <w:rFonts w:ascii="Consolas" w:hAnsi="Consolas"/>
                <w:b w:val="0"/>
                <w:sz w:val="17"/>
              </w:rPr>
              <w:t>10_INVESTOR_PROPOSITION</w:t>
            </w:r>
            <w:r>
              <w:rPr>
                <w:b w:val="0"/>
                <w:sz w:val="17"/>
              </w:rPr>
              <w:t xml:space="preserve"> exit scenarios); venture debt against contracted ARR.</w:t>
            </w:r>
          </w:p>
        </w:tc>
      </w:tr>
    </w:tbl>
    <w:p/>
    <w:p>
      <w:pPr>
        <w:pStyle w:val="Heading2"/>
      </w:pPr>
      <w:r>
        <w:t>4. Illustrative cap table (ESTIMATE / PROPOSED — for planning conversations only; not an offer)</w:t>
      </w:r>
    </w:p>
    <w:p>
      <w:r>
        <w:t>Basis: 10,000,000 ordinary shares at incorporation, 100% founder (</w:t>
      </w:r>
      <w:r>
        <w:rPr>
          <w:rFonts w:ascii="Consolas" w:hAnsi="Consolas"/>
          <w:sz w:val="18"/>
        </w:rPr>
        <w:t>02</w:t>
      </w:r>
      <w:r>
        <w:t xml:space="preserve"> §2.2). MaternaLink IP settlement 10% (mid-point of the 8–12% PROPOSED range, reverse-vesting 4 years, 12-month cliff). Option pool 12% post-pool (advisors 0.25–0.5% each × 5 ≈ 2% and the CTO/product lead 4–6% are </w:t>
      </w:r>
      <w:r>
        <w:rPr>
          <w:b/>
        </w:rPr>
        <w:t>allocated from within the pool</w:t>
      </w:r>
      <w:r>
        <w:t>, so they are shown as sub-lines, not additional dilution). Pre-money placeholders £2.5m / £6m / £20m. No pool top-ups shown (a seed top-up to ~10% post-money would cost all pre-money holders ~2 points pro rata). Percentages fully diluted, rounded to 0.1.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Holder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Incorporation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After IP settlement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After pool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After pre-seed</w:t>
            </w:r>
            <w:r>
              <w:rPr>
                <w:b/>
                <w:sz w:val="17"/>
              </w:rPr>
              <w:t xml:space="preserve"> (£400k @ £2.5m pre)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After seed</w:t>
            </w:r>
            <w:r>
              <w:rPr>
                <w:b/>
                <w:sz w:val="17"/>
              </w:rPr>
              <w:t xml:space="preserve"> (£2.0m @ £6m pre)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After Series A</w:t>
            </w:r>
            <w:r>
              <w:rPr>
                <w:b/>
                <w:sz w:val="17"/>
              </w:rPr>
              <w:t xml:space="preserve"> (£8m @ £20m pre)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(Kelvin Williams — display name ASSUMPTION)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90.0%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79.2%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68.3%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51.2%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36.6%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IP counterparty (David Agunede, vesting; subject to IP audit and executed deed)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8.8%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7.6%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5.7%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4.1%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Option pool (EMI, unallocated at creation)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12.0%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7.8%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5.5%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&amp;nbsp;&amp;nbsp;of which advisors (5 × 0.25–0.5%, from pool)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(≈2.0%)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(≈1.7%)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(≈1.3%)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(≈0.9%)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&amp;nbsp;&amp;nbsp;of which CTO/product lead and early hires (from pool)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(≈7–9%)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(≈6–8%)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(≈4.5–6%)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(≈3–4%)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 investors (SEIS £250k + EIS £150k)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13.8%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10.3%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7.4%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investors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25.0%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17.9%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 A investors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28.6%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Post-money (ESTIMATE)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£2.9m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£8.0m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£28.0m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Cumulative equity raised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£0.4m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£2.4m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£10.4m</w:t>
            </w:r>
          </w:p>
        </w:tc>
      </w:tr>
    </w:tbl>
    <w:p/>
    <w:p>
      <w:r>
        <w:rPr>
          <w:b/>
        </w:rPr>
        <w:t>Reading the table.</w:t>
      </w:r>
    </w:p>
    <w:p>
      <w:pPr>
        <w:pStyle w:val="ListBullet"/>
      </w:pPr>
      <w:r>
        <w:t xml:space="preserve">The founder remains the largest single holder and above 50% through the seed in this illustration; a founder below ~35% after Series A is normal for venture-backed companies and is the reason the Series A is a </w:t>
      </w:r>
      <w:r>
        <w:rPr>
          <w:i/>
        </w:rPr>
        <w:t>decision</w:t>
      </w:r>
      <w:r>
        <w:t>, not an assumption.</w:t>
      </w:r>
    </w:p>
    <w:p>
      <w:pPr>
        <w:pStyle w:val="ListBullet"/>
      </w:pPr>
      <w:r>
        <w:t>The IP counterparty's stake is meaningful (worth ~£220k at the pre-seed post-money, ~£1.1m at Series A post-money, on paper and unvested) — which is the argument for assignment-for-equity over a royalty licence.</w:t>
      </w:r>
    </w:p>
    <w:p>
      <w:pPr>
        <w:pStyle w:val="ListBullet"/>
      </w:pPr>
      <w:r>
        <w:t>Sensitivity: every £500k of pre-money at a £400k raise moves pre-seed investor ownership by ~2 points; a £250k SEIS-only round at £2.0m pre gives investors 11.1% (</w:t>
      </w:r>
      <w:r>
        <w:rPr>
          <w:rFonts w:ascii="Consolas" w:hAnsi="Consolas"/>
          <w:sz w:val="18"/>
        </w:rPr>
        <w:t>02</w:t>
      </w:r>
      <w:r>
        <w:t xml:space="preserve"> §2.2). Conservative variant (£250k @ £2.0m): founder 70.4%, IP 7.8%, pool 10.7%, investors 11.1%.</w:t>
      </w:r>
    </w:p>
    <w:p>
      <w:pPr>
        <w:pStyle w:val="ListBullet"/>
      </w:pPr>
      <w:r>
        <w:t>A licence rather than assignment (</w:t>
      </w:r>
      <w:r>
        <w:rPr>
          <w:rFonts w:ascii="Consolas" w:hAnsi="Consolas"/>
          <w:sz w:val="18"/>
        </w:rPr>
        <w:t>02</w:t>
      </w:r>
      <w:r>
        <w:t xml:space="preserve"> §3 Option 2) would replace the 10% with 2–5% plus a royalty, and investors would price the valuation down or require conversion to assignment as a condition — the table assumes assignment.</w:t>
      </w:r>
    </w:p>
    <w:p>
      <w:pPr>
        <w:pStyle w:val="Heading2"/>
      </w:pPr>
      <w:r>
        <w:t>5. Raise-readiness checklist (the data room in one page)</w:t>
      </w:r>
    </w:p>
    <w:p>
      <w:r>
        <w:t xml:space="preserve">Status today: </w:t>
      </w:r>
      <w:r>
        <w:rPr>
          <w:b/>
        </w:rPr>
        <w:t>0 of 32 complete</w:t>
      </w:r>
      <w:r>
        <w:t xml:space="preserve"> (VERIFIED absence, FACTS_BASE §1). Target: all Section A items before any pre-seed outreach; Sections A–C before the seed.</w:t>
      </w:r>
    </w:p>
    <w:p>
      <w:r>
        <w:rPr>
          <w:b/>
        </w:rPr>
        <w:t>A. Entity and ownership (pre-seed gate)</w:t>
      </w:r>
    </w:p>
    <w:p>
      <w:pPr>
        <w:pStyle w:val="ListBullet"/>
      </w:pPr>
      <w:r>
        <w:t>[ ] Certificate of incorporation; articles; registers; PSC register; Companies House filings current</w:t>
      </w:r>
    </w:p>
    <w:p>
      <w:pPr>
        <w:pStyle w:val="ListBullet"/>
      </w:pPr>
      <w:r>
        <w:t>[ ] Founder IP assignment to the company (all pre-incorporation work)</w:t>
      </w:r>
    </w:p>
    <w:p>
      <w:pPr>
        <w:pStyle w:val="ListBullet"/>
      </w:pPr>
      <w:r>
        <w:t>[ ] MaternaLink IP assignment deed (or exclusive licence + option) executed; IP audit report; code in a Vytalix-controlled repository; "Maternal Link" name and domain transferred</w:t>
      </w:r>
    </w:p>
    <w:p>
      <w:pPr>
        <w:pStyle w:val="ListBullet"/>
      </w:pPr>
      <w:r>
        <w:t>[ ] Shareholders' agreement; vesting schedules; option-pool resolution (EMI valuation agreed with HMRC when granted — TO VALIDATE)</w:t>
      </w:r>
    </w:p>
    <w:p>
      <w:pPr>
        <w:pStyle w:val="ListBullet"/>
      </w:pPr>
      <w:r>
        <w:t>[ ] Cap table (fully diluted) matching the registers exactly</w:t>
      </w:r>
    </w:p>
    <w:p>
      <w:pPr>
        <w:pStyle w:val="ListBullet"/>
      </w:pPr>
      <w:r>
        <w:t>[ ] SEIS/EIS advance assurance application submitted (copy in data room) — later, the HMRC response</w:t>
      </w:r>
    </w:p>
    <w:p>
      <w:pPr>
        <w:pStyle w:val="ListBullet"/>
      </w:pPr>
      <w:r>
        <w:t>[ ] Bank account; accountant engaged; bookkeeping live; VAT position decided</w:t>
      </w:r>
    </w:p>
    <w:p>
      <w:pPr>
        <w:pStyle w:val="ListBullet"/>
      </w:pPr>
      <w:r>
        <w:t>[ ] Insurance: professional indemnity, public liability, cyber (certificates)</w:t>
      </w:r>
    </w:p>
    <w:p>
      <w:pPr>
        <w:pStyle w:val="ListBullet"/>
      </w:pPr>
      <w:r>
        <w:t>[ ] ICO registration; Cyber Essentials (Plus by seed)</w:t>
      </w:r>
    </w:p>
    <w:p>
      <w:pPr>
        <w:pStyle w:val="ListBullet"/>
      </w:pPr>
      <w:r>
        <w:t>[ ] Trademark applications filed (UK classes 9, 41, 42, 44); name-clearance opinion on file</w:t>
      </w:r>
    </w:p>
    <w:p>
      <w:pPr>
        <w:pStyle w:val="ListBullet"/>
      </w:pPr>
      <w:r>
        <w:t>[ ] Board minutes from first meeting; Kemek Enterprise conflict declared and minuted</w:t>
      </w:r>
    </w:p>
    <w:p>
      <w:r>
        <w:rPr>
          <w:b/>
        </w:rPr>
        <w:t>B. Product, clinical and regulatory (pre-seed: started; seed: complete)</w:t>
      </w:r>
    </w:p>
    <w:p>
      <w:pPr>
        <w:pStyle w:val="ListBullet"/>
      </w:pPr>
      <w:r>
        <w:t>[ ] v1 intended-use statement (non-diagnostic) adopted; 2025 claims retired (with a dated note of retirement)</w:t>
      </w:r>
    </w:p>
    <w:p>
      <w:pPr>
        <w:pStyle w:val="ListBullet"/>
      </w:pPr>
      <w:r>
        <w:t>[ ] Prototype audit: authorship, licences, security, confirmation no real patient data</w:t>
      </w:r>
    </w:p>
    <w:p>
      <w:pPr>
        <w:pStyle w:val="ListBullet"/>
      </w:pPr>
      <w:r>
        <w:t>[ ] Clinical Safety Officer contracted; DCB0129 hazard log opened; safety case v1 (seed)</w:t>
      </w:r>
    </w:p>
    <w:p>
      <w:pPr>
        <w:pStyle w:val="ListBullet"/>
      </w:pPr>
      <w:r>
        <w:t>[ ] DPIA v1; DSPT; DTAC self-assessment (seed)</w:t>
      </w:r>
    </w:p>
    <w:p>
      <w:pPr>
        <w:pStyle w:val="ListBullet"/>
      </w:pPr>
      <w:r>
        <w:t>[ ] Device-qualification memo (why v1 is not a medical device; what would change that)</w:t>
      </w:r>
    </w:p>
    <w:p>
      <w:pPr>
        <w:pStyle w:val="ListBullet"/>
      </w:pPr>
      <w:r>
        <w:t>[ ] Product roadmap with gates (</w:t>
      </w:r>
      <w:r>
        <w:rPr>
          <w:rFonts w:ascii="Consolas" w:hAnsi="Consolas"/>
          <w:sz w:val="18"/>
        </w:rPr>
        <w:t>/product/MATERNALINK_ROADMAP.md</w:t>
      </w:r>
      <w:r>
        <w:t>) and the MVP spec</w:t>
      </w:r>
    </w:p>
    <w:p>
      <w:pPr>
        <w:pStyle w:val="ListBullet"/>
      </w:pPr>
      <w:r>
        <w:t>[ ] Architecture and data-flow diagrams incl. Nigeria hosting/NDPA position</w:t>
      </w:r>
    </w:p>
    <w:p>
      <w:r>
        <w:rPr>
          <w:b/>
        </w:rPr>
        <w:t>C. Commercial evidence (pre-seed: 1–3 items; seed: all)</w:t>
      </w:r>
    </w:p>
    <w:p>
      <w:pPr>
        <w:pStyle w:val="ListBullet"/>
      </w:pPr>
      <w:r>
        <w:t>[ ] Signed services engagements (SOWs) and invoices paid; client references with consent</w:t>
      </w:r>
    </w:p>
    <w:p>
      <w:pPr>
        <w:pStyle w:val="ListBullet"/>
      </w:pPr>
      <w:r>
        <w:t>[ ] Pipeline export from the CRM with stage definitions</w:t>
      </w:r>
    </w:p>
    <w:p>
      <w:pPr>
        <w:pStyle w:val="ListBullet"/>
      </w:pPr>
      <w:r>
        <w:t>[ ] UK design-partner letter (unpaid) → service-evaluation registration → paid pilot contract</w:t>
      </w:r>
    </w:p>
    <w:p>
      <w:pPr>
        <w:pStyle w:val="ListBullet"/>
      </w:pPr>
      <w:r>
        <w:t>[ ] Nigeria implementing-partner agreement or MoU in Vytalix's name; Ekiti decision minuted; mDoc complementarity note</w:t>
      </w:r>
    </w:p>
    <w:p>
      <w:pPr>
        <w:pStyle w:val="ListBullet"/>
      </w:pPr>
      <w:r>
        <w:t>[ ] Discovery-interview summaries (15 UK, 10 Nigeria) with consent</w:t>
      </w:r>
    </w:p>
    <w:p>
      <w:pPr>
        <w:pStyle w:val="ListBullet"/>
      </w:pPr>
      <w:r>
        <w:t>[ ] Pricing evidence: willingness-to-pay notes per segment; cost-to-serve model</w:t>
      </w:r>
    </w:p>
    <w:p>
      <w:r>
        <w:rPr>
          <w:b/>
        </w:rPr>
        <w:t>D. Team and governance</w:t>
      </w:r>
    </w:p>
    <w:p>
      <w:pPr>
        <w:pStyle w:val="ListBullet"/>
      </w:pPr>
      <w:r>
        <w:t>[ ] Founder CV with verifiable facts; time-allocation statement (Vytalix vs Kemek)</w:t>
      </w:r>
    </w:p>
    <w:p>
      <w:pPr>
        <w:pStyle w:val="ListBullet"/>
      </w:pPr>
      <w:r>
        <w:t>[ ] Advisory board letters (named advisers, consented, compensation stated)</w:t>
      </w:r>
    </w:p>
    <w:p>
      <w:pPr>
        <w:pStyle w:val="ListBullet"/>
      </w:pPr>
      <w:r>
        <w:t>[ ] Product lead/CTO offer or contract; clinical lead engagement</w:t>
      </w:r>
    </w:p>
    <w:p>
      <w:pPr>
        <w:pStyle w:val="ListBullet"/>
      </w:pPr>
      <w:r>
        <w:t>[ ] Hiring plan tied to funding milestones</w:t>
      </w:r>
    </w:p>
    <w:p>
      <w:r>
        <w:rPr>
          <w:b/>
        </w:rPr>
        <w:t>E. Financials and the ask</w:t>
      </w:r>
    </w:p>
    <w:p>
      <w:pPr>
        <w:pStyle w:val="ListBullet"/>
      </w:pPr>
      <w:r>
        <w:t>[ ] Financial model workbook (</w:t>
      </w:r>
      <w:r>
        <w:rPr>
          <w:rFonts w:ascii="Consolas" w:hAnsi="Consolas"/>
          <w:sz w:val="18"/>
        </w:rPr>
        <w:t>/finance/Vytalix_Financial_Model_3yr.xlsx</w:t>
      </w:r>
      <w:r>
        <w:t>) with actuals-vs-model from month 2</w:t>
      </w:r>
    </w:p>
    <w:p>
      <w:pPr>
        <w:pStyle w:val="ListBullet"/>
      </w:pPr>
      <w:r>
        <w:t>[ ] Use-of-funds table and milestone plan for the round; runway calculation</w:t>
      </w:r>
    </w:p>
    <w:p>
      <w:pPr>
        <w:pStyle w:val="ListBullet"/>
      </w:pPr>
      <w:r>
        <w:t>[ ] Term-sheet expectations (one page): instrument, pre-money range, investor rights offered</w:t>
      </w:r>
    </w:p>
    <w:p>
      <w:pPr>
        <w:pStyle w:val="ListBullet"/>
      </w:pPr>
      <w:r>
        <w:t>[ ] Investor deck, one-pager, 2-minute script, 15-question answer sheet (</w:t>
      </w:r>
      <w:r>
        <w:rPr>
          <w:rFonts w:ascii="Consolas" w:hAnsi="Consolas"/>
          <w:sz w:val="18"/>
        </w:rPr>
        <w:t>/docs/10</w:t>
      </w:r>
      <w:r>
        <w:t xml:space="preserve">, </w:t>
      </w:r>
      <w:r>
        <w:rPr>
          <w:rFonts w:ascii="Consolas" w:hAnsi="Consolas"/>
          <w:sz w:val="18"/>
        </w:rPr>
        <w:t>/assets/</w:t>
      </w:r>
      <w:r>
        <w:t>)</w:t>
      </w:r>
    </w:p>
    <w:p>
      <w:pPr>
        <w:pStyle w:val="Heading2"/>
      </w:pPr>
      <w:r>
        <w:t>6. Raise-killers — what stops a round dead, and the fix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Raise-killer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an investor finds it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Damage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Fix (owner: Founder unless stated)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Fixed by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Undocumented MaternaLink IP</w:t>
            </w:r>
            <w:r>
              <w:rPr>
                <w:b w:val="0"/>
                <w:sz w:val="17"/>
              </w:rPr>
              <w:t xml:space="preserve"> — David Agunede signs as "Founder &amp; CEO, Maternal Link"; no assignment, licence or agreement (VERIFIED gap)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question: "Who owns the code?" Then the email signature block in the Ekiti proposal.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Immediate stop; some investors will not return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Standstill letter (week 1); heads of terms (day 7); IP audit; executed deed (day 30, hard stop day 60); fallback clean-room rebuild (</w:t>
            </w:r>
            <w:r>
              <w:rPr>
                <w:rFonts w:ascii="Consolas" w:hAnsi="Consolas"/>
                <w:b w:val="0"/>
                <w:sz w:val="17"/>
              </w:rPr>
              <w:t>02</w:t>
            </w:r>
            <w:r>
              <w:rPr>
                <w:b w:val="0"/>
                <w:sz w:val="17"/>
              </w:rPr>
              <w:t xml:space="preserve"> §3; </w:t>
            </w:r>
            <w:r>
              <w:rPr>
                <w:rFonts w:ascii="Consolas" w:hAnsi="Consolas"/>
                <w:b w:val="0"/>
                <w:sz w:val="17"/>
              </w:rPr>
              <w:t>18</w:t>
            </w:r>
            <w:r>
              <w:rPr>
                <w:b w:val="0"/>
                <w:sz w:val="17"/>
              </w:rPr>
              <w:t xml:space="preserve"> gate G-B)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30–60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Unvalidated clinical claims</w:t>
            </w:r>
            <w:r>
              <w:rPr>
                <w:b w:val="0"/>
                <w:sz w:val="17"/>
              </w:rPr>
              <w:t xml:space="preserve"> — "predicts pre-eclampsia, sepsis, haemorrhage, thromboembolism"; "reduces maternal mortality"; "expand to multiple NHS trusts"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copy of the 2025 deck; a Google search; the Vercel prototype's own text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(SaMD without pathway), reputational, and a diligence failure on founder judgement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Retire the deck externally (day 3); adopt v1 intended-use; move AI to a v3 research track; rewrite prototype copy; date-stamp the retirement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No legal entity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Companies House search returns nothing for "Vytalix"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Cannot issue shares, obtain SEIS/EIS assurance, contract, bank or insure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clearance → incorporate (E&amp;W) → bank → accountant → advance assurance (</w:t>
            </w:r>
            <w:r>
              <w:rPr>
                <w:rFonts w:ascii="Consolas" w:hAnsi="Consolas"/>
                <w:b w:val="0"/>
                <w:sz w:val="17"/>
              </w:rPr>
              <w:t>18</w:t>
            </w:r>
            <w:r>
              <w:rPr>
                <w:b w:val="0"/>
                <w:sz w:val="17"/>
              </w:rPr>
              <w:t xml:space="preserve"> gate G-A)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12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The Ekiti pricing</w:t>
            </w:r>
            <w:r>
              <w:rPr>
                <w:b w:val="0"/>
                <w:sz w:val="17"/>
              </w:rPr>
              <w:t xml:space="preserve"> — £300/woman/year; £4.5m / £9m / £36m phases; in a state with a funded incumbent (mDoc / MSD for Mothers, VERIFIED)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proposal circulates; any investor with African health-tech exposure knows PROMPTS is under $1/mother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Destroys pricing credibility and signals no market research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restate; re-base to £3–£12/woman/year Africa and £8–£40 UK (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§2.3); present the Ekiti decision (partner / move state / stop) as a minuted gate (</w:t>
            </w:r>
            <w:r>
              <w:rPr>
                <w:rFonts w:ascii="Consolas" w:hAnsi="Consolas"/>
                <w:b w:val="0"/>
                <w:sz w:val="17"/>
              </w:rPr>
              <w:t>18</w:t>
            </w:r>
            <w:r>
              <w:rPr>
                <w:b w:val="0"/>
                <w:sz w:val="17"/>
              </w:rPr>
              <w:t xml:space="preserve"> G-D)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21 (re-base); Day 60 (decision)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and trademark conflict (VITALIX LTD ×2, Vytalyx Inc., Vytalize Health)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search in diligence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Rebrand cost after investment; possible opposition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Knock-out searches; decision; filings (</w:t>
            </w:r>
            <w:r>
              <w:rPr>
                <w:rFonts w:ascii="Consolas" w:hAnsi="Consolas"/>
                <w:b w:val="0"/>
                <w:sz w:val="17"/>
              </w:rPr>
              <w:t>00</w:t>
            </w:r>
            <w:r>
              <w:rPr>
                <w:b w:val="0"/>
                <w:sz w:val="17"/>
              </w:rPr>
              <w:t xml:space="preserve"> problem 4)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5–45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focus split (Kemek Enterprise)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LinkedIn; Companies House officer search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"Part-time founder" discount or pass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time-allocation rule (≥ 70% Vytalix); declared conflict; board minute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14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of unknown provenance or containing real patient data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Code review; "has anyone entered real data?"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Data-protection breach exposure; unusable asset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Audit; move to Vytalix repo; confirm/clean data; document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Solo founder with no clinical, technical or regulatory co-leadership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team slide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 passes; seed impossible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board (two named by day 60); CSO contracted; product lead from pre-seed funds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 → month 7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Services business dressed as venture, or venture dressed as services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revenue mix (59% services in Base)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Wrong investor, wrong terms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Tell the two-layer story explicitly; price the equity on product milestones (</w:t>
            </w:r>
            <w:r>
              <w:rPr>
                <w:rFonts w:ascii="Consolas" w:hAnsi="Consolas"/>
                <w:b w:val="0"/>
                <w:sz w:val="17"/>
              </w:rPr>
              <w:t>08</w:t>
            </w:r>
            <w:r>
              <w:rPr>
                <w:b w:val="0"/>
                <w:sz w:val="17"/>
              </w:rPr>
              <w:t xml:space="preserve"> §7 #3)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 (this document)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SEIS/EIS refused or not applied for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"Do you have advance assurance?"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Angel pool shrinks by most of its size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month 1–2 with substance framed around R&amp;D; if refused, restructure or pivot to non-relief investors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2–3</w:t>
            </w:r>
          </w:p>
        </w:tc>
      </w:tr>
    </w:tbl>
    <w:p/>
    <w:p>
      <w:pPr>
        <w:pStyle w:val="Heading2"/>
      </w:pPr>
      <w:r>
        <w:t>7. Non-dilutive calendar (PROPOSED; every call and amount TO VALIDATE against the live competition pages)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Bid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 (ESTIMATE)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Pre-conditions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Expected value logic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3–6 (2027 Q1–Q2)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Innovate UK Smart (or the current equivalent open competition) — "offline-first, safety-by-design maternal care-coordination" feasibility/R&amp;D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£50k–£150k grant, 30–55% match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Incorporated; product lead identified; design-partner conversation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15–20% success → EV £10k–£25k; reusable bid material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SBRI Healthcare — only if a competition theme fits maternity, inequalities or coordination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~£100k Phase 1 (100% funded, 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problem-owner letter; DTAC readiness plan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Themed; do not force-fit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Foundation / trust bid (health inequalities, Black maternal health co-design)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£20k–£75k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Community partner; content plan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as much as cash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12–18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NIHR i4i Connect (SME) — </w:t>
            </w:r>
            <w:r>
              <w:rPr>
                <w:b/>
                <w:sz w:val="17"/>
              </w:rPr>
              <w:t>only</w:t>
            </w:r>
            <w:r>
              <w:rPr>
                <w:b w:val="0"/>
                <w:sz w:val="17"/>
              </w:rPr>
              <w:t xml:space="preserve"> with an NHS partner and a clinical-benefit hypothesis for v2 monitoring support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£50k–£150k (TO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 partner signed; CSO; safety case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Year-2 item; not in the year-1 plan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12–24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Grand Challenges Canada (seed or transition-to-scale) — Nigeria evidence programme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CAD 100k–1m (TO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Nigerian implementing partner; NHREC pathway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Aligns with the Nigeria pilot in </w:t>
            </w:r>
            <w:r>
              <w:rPr>
                <w:rFonts w:ascii="Consolas" w:hAnsi="Consolas"/>
                <w:b w:val="0"/>
                <w:sz w:val="17"/>
              </w:rPr>
              <w:t>MATERNALINK_ROADMAP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6–9 (conversation), year 2 (bid)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MSD for Mothers — complementarity with mDoc first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grant (TO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decision; partner-first model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Relationship &gt; bid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R&amp;D tax relief (accountant); Start Up Loan if founder chooses (personal liability)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Upside; £25k max personal (TO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Accounts; payroll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modelled; do not depend on</w:t>
            </w:r>
          </w:p>
        </w:tc>
      </w:tr>
    </w:tbl>
    <w:p/>
    <w:p>
      <w:r>
        <w:t xml:space="preserve">Model discipline: </w:t>
      </w:r>
      <w:r>
        <w:rPr>
          <w:rFonts w:ascii="Consolas" w:hAnsi="Consolas"/>
          <w:sz w:val="18"/>
        </w:rPr>
        <w:t>08</w:t>
      </w:r>
      <w:r>
        <w:t xml:space="preserve"> §6.4 — grants change closing cash, never the peak-need calculation. Write ≥ 4 bids in the first 12 months; 0/4 → remove grants from the model.</w:t>
      </w:r>
    </w:p>
    <w:p>
      <w:pPr>
        <w:pStyle w:val="Heading2"/>
      </w:pPr>
      <w:r>
        <w:t>8. Investor-process rules (operating the raise)</w:t>
      </w:r>
    </w:p>
    <w:p>
      <w:pPr>
        <w:pStyle w:val="ListNumber"/>
      </w:pPr>
      <w:r>
        <w:rPr>
          <w:b/>
        </w:rPr>
        <w:t>Pre-conditions before any outreach</w:t>
      </w:r>
      <w:r>
        <w:t xml:space="preserve"> (</w:t>
      </w:r>
      <w:r>
        <w:rPr>
          <w:rFonts w:ascii="Consolas" w:hAnsi="Consolas"/>
          <w:sz w:val="18"/>
        </w:rPr>
        <w:t>/investors/OUTREACH_ENGINE.md</w:t>
      </w:r>
      <w:r>
        <w:t>): incorporated; IP heads of terms signed; 2025 claims retired; one-pager and data room v1 ready; SEIS/EIS advance assurance submitted.</w:t>
      </w:r>
    </w:p>
    <w:p>
      <w:pPr>
        <w:pStyle w:val="ListNumber"/>
      </w:pPr>
      <w:r>
        <w:rPr>
          <w:b/>
        </w:rPr>
        <w:t>Sequence:</w:t>
      </w:r>
      <w:r>
        <w:t xml:space="preserve"> warm angels and syndicates first (Call Lists 1–2), funds second, grants in parallel. Target for the pre-seed: 25–40 first conversations, 10 meetings, 3–5 committed cheques to anchor, then fill.</w:t>
      </w:r>
    </w:p>
    <w:p>
      <w:pPr>
        <w:pStyle w:val="ListNumber"/>
      </w:pPr>
      <w:r>
        <w:rPr>
          <w:b/>
        </w:rPr>
        <w:t>Language discipline in every conversation:</w:t>
      </w:r>
      <w:r>
        <w:t xml:space="preserve"> "MaternaLink (in development)"; "applied for" not "approved"; "proposal" not "partner"; "prototype" not "platform"; scenario numbers labelled as scenarios.</w:t>
      </w:r>
    </w:p>
    <w:p>
      <w:pPr>
        <w:pStyle w:val="ListNumber"/>
      </w:pPr>
      <w:r>
        <w:rPr>
          <w:b/>
        </w:rPr>
        <w:t>One CRM, one pipeline, 18 stages</w:t>
      </w:r>
      <w:r>
        <w:t xml:space="preserve"> (</w:t>
      </w:r>
      <w:r>
        <w:rPr>
          <w:rFonts w:ascii="Consolas" w:hAnsi="Consolas"/>
          <w:sz w:val="18"/>
        </w:rPr>
        <w:t>/investors/CRM_PIPELINE.md</w:t>
      </w:r>
      <w:r>
        <w:t>); log every touch; weekly investor review in the Friday cadence; Kemek Enterprise contacts never imported.</w:t>
      </w:r>
    </w:p>
    <w:p>
      <w:pPr>
        <w:pStyle w:val="ListNumber"/>
      </w:pPr>
      <w:r>
        <w:rPr>
          <w:b/>
        </w:rPr>
        <w:t>Term discipline:</w:t>
      </w:r>
      <w:r>
        <w:t xml:space="preserve"> ordinary shares at pre-seed; no anti-dilution ratchets; no board seat for a £25k cheque (observer at most for the largest angel); information rights quarterly; drag/tag standard; pool top-ups modelled before agreeing.</w:t>
      </w:r>
    </w:p>
    <w:p>
      <w:pPr>
        <w:pStyle w:val="ListNumber"/>
      </w:pPr>
      <w:r>
        <w:rPr>
          <w:b/>
        </w:rPr>
        <w:t>Close discipline:</w:t>
      </w:r>
      <w:r>
        <w:t xml:space="preserve"> a round is announced only when the shares are issued and the SEIS/EIS compliance statements are filed. Internally, "committed" ≠ "signed" ≠ "received".</w:t>
      </w:r>
    </w:p>
    <w:p>
      <w:pPr>
        <w:pStyle w:val="ListNumber"/>
      </w:pPr>
      <w:r>
        <w:rPr>
          <w:b/>
        </w:rPr>
        <w:t>Stop rules:</w:t>
      </w:r>
      <w:r>
        <w:t xml:space="preserve"> pre-seed not closed by month 6 → Conservative path and re-open in month 9–12; seed gates not TRUE by month 18 → extension from existing investors or slow the cost base; never hire ahead of cash.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Close the four raise-killers (IP, claims, entity, Ekiti pricing) in the first 60 days — nothing else in this document works until they are closed.</w:t>
      </w:r>
    </w:p>
    <w:p>
      <w:pPr>
        <w:pStyle w:val="ListNumber"/>
      </w:pPr>
      <w:r>
        <w:t>Submit SEIS/EIS advance assurance in month 1–2 with the application framed around the R&amp;D product programme; structure the Base pre-seed as SEIS £250k then EIS £150k (limits TO VALIDATE).</w:t>
      </w:r>
    </w:p>
    <w:p>
      <w:pPr>
        <w:pStyle w:val="ListNumber"/>
      </w:pPr>
      <w:r>
        <w:t>Open the pre-seed only when the §3.1 gates are TRUE; target close month 4 (Base) and never hire the product lead ahead of the money.</w:t>
      </w:r>
    </w:p>
    <w:p>
      <w:pPr>
        <w:pStyle w:val="ListNumber"/>
      </w:pPr>
      <w:r>
        <w:t>Run two grant bids in year 1 (Innovate UK Smart; SBRI if a theme fits) as upside, and start the MSD for Mothers / mDoc complementarity conversation by month 9.</w:t>
      </w:r>
    </w:p>
    <w:p>
      <w:pPr>
        <w:pStyle w:val="ListNumber"/>
      </w:pPr>
      <w:r>
        <w:t>Price every round on milestones (artefacts, design partner, paid pilot, evidence), and keep the illustrative cap table as the written dilution plan.</w:t>
      </w:r>
    </w:p>
    <w:p>
      <w:r>
        <w:rPr>
          <w:b/>
        </w:rPr>
        <w:t>Risks</w:t>
      </w:r>
    </w:p>
    <w:p>
      <w:pPr>
        <w:pStyle w:val="ListBullet"/>
      </w:pPr>
      <w:r>
        <w:t>SEIS/EIS refused or delayed because the trade looks like consultancy or because the IP route involves royalties → restructure the application, choose assignment over licence, and prepare a non-relief investor list.</w:t>
      </w:r>
    </w:p>
    <w:p>
      <w:pPr>
        <w:pStyle w:val="ListBullet"/>
      </w:pPr>
      <w:r>
        <w:t>Pre-seed slips past month 6 → founder draw cut, product lead deferred, ASA bridge; company collapses toward the Conservative scenario.</w:t>
      </w:r>
    </w:p>
    <w:p>
      <w:pPr>
        <w:pStyle w:val="ListBullet"/>
      </w:pPr>
      <w:r>
        <w:t>IP dispute or no agreement by day 60 → clean-room rebuild; MaternaLink cannot be described as owned until then.</w:t>
      </w:r>
    </w:p>
    <w:p>
      <w:pPr>
        <w:pStyle w:val="ListBullet"/>
      </w:pPr>
      <w:r>
        <w:t>Seed gates depend on third parties (an NHS evaluation site, a Nigerian partner, ethics timelines) → fallback sites and an extension round from existing investors.</w:t>
      </w:r>
    </w:p>
    <w:p>
      <w:pPr>
        <w:pStyle w:val="ListBullet"/>
      </w:pPr>
      <w:r>
        <w:t>Valuation placeholders (£2.5m / £6m / £20m) are unvalidated → test with three friendly investors before any term sheet.</w:t>
      </w:r>
    </w:p>
    <w:p>
      <w:r>
        <w:rPr>
          <w:b/>
        </w:rPr>
        <w:t>Next actions (owner: Fundraising Director with Founder)</w:t>
      </w:r>
    </w:p>
    <w:p>
      <w:pPr>
        <w:pStyle w:val="ListBullet"/>
      </w:pPr>
      <w:r>
        <w:t>Week 1: standstill letter to David Agunede; retire the 2025 deck; name-clearance search; accountant briefed on SEIS/EIS.</w:t>
      </w:r>
    </w:p>
    <w:p>
      <w:pPr>
        <w:pStyle w:val="ListBullet"/>
      </w:pPr>
      <w:r>
        <w:t>Week 2: incorporate; open bank; instruct solicitor on the IP deed and shareholders' agreement; draft the advance-assurance pack.</w:t>
      </w:r>
    </w:p>
    <w:p>
      <w:pPr>
        <w:pStyle w:val="ListBullet"/>
      </w:pPr>
      <w:r>
        <w:t xml:space="preserve">Week 4: IP deed executed; data room v1 (Section A of §5) assembled; advance assurance submitted; update </w:t>
      </w:r>
      <w:r>
        <w:rPr>
          <w:rFonts w:ascii="Consolas" w:hAnsi="Consolas"/>
          <w:sz w:val="18"/>
        </w:rPr>
        <w:t>02_GROUP_STRUCTURE</w:t>
      </w:r>
      <w:r>
        <w:t xml:space="preserve"> §2.2 and </w:t>
      </w:r>
      <w:r>
        <w:rPr>
          <w:rFonts w:ascii="Consolas" w:hAnsi="Consolas"/>
          <w:sz w:val="18"/>
        </w:rPr>
        <w:t>/assets/BUSINESS_PLAN.md</w:t>
      </w:r>
      <w:r>
        <w:t xml:space="preserve"> to the £250k–£500k pre-seed sizing.</w:t>
      </w:r>
    </w:p>
    <w:p>
      <w:pPr>
        <w:pStyle w:val="ListBullet"/>
      </w:pPr>
      <w:r>
        <w:t>Week 6–8: valuation sounding with three investors; Call Lists 1–2 outreach begins (pre-conditions met); Innovate UK Smart bid outline.</w:t>
      </w:r>
    </w:p>
    <w:p>
      <w:pPr>
        <w:pStyle w:val="ListBullet"/>
      </w:pPr>
      <w:r>
        <w:t>Month 4: pre-seed target close; re-run the model with actuals; re-label this document's ESTIMATES that have become KNOWN.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