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15 — VYTALIX LEGAL, REGULATORY AND COMPLIANCE FRAMEWORK</w:t>
      </w:r>
    </w:p>
    <w:p>
      <w:r>
        <w:rPr>
          <w:b/>
        </w:rPr>
        <w:t>Owner:</w:t>
      </w:r>
      <w:r>
        <w:t xml:space="preserve"> Founder (acting Risk &amp; Compliance lead) · </w:t>
      </w:r>
      <w:r>
        <w:rPr>
          <w:b/>
        </w:rPr>
        <w:t>Status:</w:t>
      </w:r>
      <w:r>
        <w:t xml:space="preserve"> PROPOSED · </w:t>
      </w:r>
      <w:r>
        <w:rPr>
          <w:b/>
        </w:rPr>
        <w:t>Version:</w:t>
      </w:r>
      <w:r>
        <w:t xml:space="preserve"> 1.0 (7 September 2026) · </w:t>
      </w:r>
      <w:r>
        <w:rPr>
          <w:b/>
        </w:rPr>
        <w:t>Governed by:</w:t>
      </w:r>
      <w:r>
        <w:t xml:space="preserve"> </w:t>
      </w:r>
      <w:r>
        <w:rPr>
          <w:rFonts w:ascii="Consolas" w:hAnsi="Consolas"/>
          <w:sz w:val="18"/>
        </w:rPr>
        <w:t>/FACTS_BASE.md</w:t>
      </w:r>
      <w:r>
        <w:t xml:space="preserve"> · </w:t>
      </w:r>
      <w:r>
        <w:rPr>
          <w:b/>
        </w:rPr>
        <w:t>Related:</w:t>
      </w:r>
      <w:r>
        <w:t xml:space="preserve"> </w:t>
      </w:r>
      <w:r>
        <w:rPr>
          <w:rFonts w:ascii="Consolas" w:hAnsi="Consolas"/>
          <w:sz w:val="18"/>
        </w:rPr>
        <w:t>/docs/04_MATERNALINK_PRODUCT_STRATEGY.md</w:t>
      </w:r>
      <w:r>
        <w:t xml:space="preserve"> §§15–21, </w:t>
      </w:r>
      <w:r>
        <w:rPr>
          <w:rFonts w:ascii="Consolas" w:hAnsi="Consolas"/>
          <w:sz w:val="18"/>
        </w:rPr>
        <w:t>/docs/13_SALES_ENGINE.md</w:t>
      </w:r>
      <w:r>
        <w:t xml:space="preserve"> §9</w:t>
      </w:r>
    </w:p>
    <w:p>
      <w:pPr>
        <w:ind w:left="432"/>
      </w:pPr>
      <w:r>
        <w:rPr>
          <w:b/>
          <w:i/>
          <w:color w:val="4B5568"/>
        </w:rPr>
        <w:t>This document is not legal advice.</w:t>
      </w:r>
      <w:r>
        <w:rPr>
          <w:i/>
          <w:color w:val="4B5568"/>
        </w:rPr>
        <w:t xml:space="preserve"> It is a founder's compliance map. Every item marked </w:t>
      </w:r>
      <w:r>
        <w:rPr>
          <w:b/>
          <w:i/>
          <w:color w:val="4B5568"/>
        </w:rPr>
        <w:t>[SOLICITOR]</w:t>
      </w:r>
      <w:r>
        <w:rPr>
          <w:i/>
          <w:color w:val="4B5568"/>
        </w:rPr>
        <w:t xml:space="preserve">, </w:t>
      </w:r>
      <w:r>
        <w:rPr>
          <w:b/>
          <w:i/>
          <w:color w:val="4B5568"/>
        </w:rPr>
        <w:t>[ACCOUNTANT]</w:t>
      </w:r>
      <w:r>
        <w:rPr>
          <w:i/>
          <w:color w:val="4B5568"/>
        </w:rPr>
        <w:t xml:space="preserve"> or </w:t>
      </w:r>
      <w:r>
        <w:rPr>
          <w:b/>
          <w:i/>
          <w:color w:val="4B5568"/>
        </w:rPr>
        <w:t>[REG-CONSULTANT]</w:t>
      </w:r>
      <w:r>
        <w:rPr>
          <w:i/>
          <w:color w:val="4B5568"/>
        </w:rPr>
        <w:t xml:space="preserve"> requires qualified professional advice before action. Fees quoted with a URL were checked on 7 September 2026 via web search (6 searches used); everything else is ESTIMATE or TO VALIDATE.</w:t>
      </w:r>
    </w:p>
    <w:p>
      <w:pPr>
        <w:pStyle w:val="Heading2"/>
      </w:pPr>
      <w:r>
        <w:t>Executive view</w:t>
      </w:r>
    </w:p>
    <w:p>
      <w:pPr>
        <w:pStyle w:val="ListNumber"/>
      </w:pPr>
      <w:r>
        <w:t>Vytalix has no legal entity, no ICO registration, no trademark, no contracts, no insurance and no policies (VERIFIED absence, FACTS_BASE §1). Nothing can be sold, banked, insured or granted until an entity exists; incorporation is therefore the first legal act, gated only by name clearance.</w:t>
      </w:r>
    </w:p>
    <w:p>
      <w:pPr>
        <w:pStyle w:val="ListNumber"/>
      </w:pPr>
      <w:r>
        <w:t>The two highest-consequence legal issues are (a) the undocumented MaternaLink IP relationship with David Agunede and (b) the naming conflict with VITALIX LTD (UK), Vytalyx Inc. (US) and Vytalize Health (US). Both must be resolved before any brand spend, investor conversation or pilot contract.</w:t>
      </w:r>
    </w:p>
    <w:p>
      <w:pPr>
        <w:pStyle w:val="ListNumber"/>
      </w:pPr>
      <w:r>
        <w:t>MaternaLink (in development) v1 is deliberately scoped as non-diagnostic care-coordination software so that it sits outside UK medical-device regulation; that position holds only while the intended-use statement is enforced feature by feature. Any predictive or alerting feature triggers UK MDR 2002 / MHRA SaMD obligations.</w:t>
      </w:r>
    </w:p>
    <w:p>
      <w:pPr>
        <w:pStyle w:val="ListNumber"/>
      </w:pPr>
      <w:r>
        <w:t xml:space="preserve">Health data is special-category data under UK GDPR. Advisory and consulting work should be designed to process </w:t>
      </w:r>
      <w:r>
        <w:rPr>
          <w:b/>
        </w:rPr>
        <w:t>no</w:t>
      </w:r>
      <w:r>
        <w:t xml:space="preserve"> patient data; MaternaLink will require a DPIA, ICO registration, a Clinical Safety Officer, DSPT and Cyber Essentials before any real-world deployment, and NDPA 2023 registration before any Nigerian deployment.</w:t>
      </w:r>
    </w:p>
    <w:p>
      <w:pPr>
        <w:pStyle w:val="ListNumber"/>
      </w:pPr>
      <w:r>
        <w:t>Budget for year-1 legal and compliance (ESTIMATE): £9k–£18k, of which solicitor fees for IP/shareholder documents £4k–£8k, trademark £1.5k–£3k including adviser, insurance £1.5k–£3.5k, ICO/Cyber Essentials/registrations £0.5k–£1k, contracts £2k–£4k. Non-negotiable items are flagged P0 in §14.</w:t>
      </w:r>
    </w:p>
    <w:p>
      <w:pPr>
        <w:pStyle w:val="Heading2"/>
      </w:pPr>
      <w:r>
        <w:t>1. Corporate formation (Companies House)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Item</w:t>
            </w:r>
          </w:p>
        </w:tc>
        <w:tc>
          <w:tcPr>
            <w:tcW w:type="dxa" w:w="2412"/>
          </w:tcPr>
          <w:p>
            <w:r>
              <w:rPr>
                <w:b/>
                <w:sz w:val="17"/>
              </w:rPr>
            </w:r>
            <w:r>
              <w:rPr>
                <w:b/>
                <w:sz w:val="17"/>
              </w:rPr>
              <w:t>Position (PROPOSED)</w:t>
            </w:r>
          </w:p>
        </w:tc>
        <w:tc>
          <w:tcPr>
            <w:tcW w:type="dxa" w:w="2412"/>
          </w:tcPr>
          <w:p>
            <w:r>
              <w:rPr>
                <w:b/>
                <w:sz w:val="17"/>
              </w:rPr>
            </w:r>
            <w:r>
              <w:rPr>
                <w:b/>
                <w:sz w:val="17"/>
              </w:rPr>
              <w:t>Fact / cost</w:t>
            </w:r>
          </w:p>
        </w:tc>
        <w:tc>
          <w:tcPr>
            <w:tcW w:type="dxa" w:w="2412"/>
          </w:tcPr>
          <w:p>
            <w:r>
              <w:rPr>
                <w:b/>
                <w:sz w:val="17"/>
              </w:rPr>
            </w:r>
            <w:r>
              <w:rPr>
                <w:b/>
                <w:sz w:val="17"/>
              </w:rPr>
              <w:t>Flag</w:t>
            </w:r>
          </w:p>
        </w:tc>
      </w:tr>
      <w:tr>
        <w:tc>
          <w:tcPr>
            <w:tcW w:type="dxa" w:w="2412"/>
          </w:tcPr>
          <w:p>
            <w:r>
              <w:rPr>
                <w:b w:val="0"/>
                <w:sz w:val="17"/>
              </w:rPr>
            </w:r>
            <w:r>
              <w:rPr>
                <w:b w:val="0"/>
                <w:sz w:val="17"/>
              </w:rPr>
              <w:t>Entity type</w:t>
            </w:r>
          </w:p>
        </w:tc>
        <w:tc>
          <w:tcPr>
            <w:tcW w:type="dxa" w:w="2412"/>
          </w:tcPr>
          <w:p>
            <w:r>
              <w:rPr>
                <w:b w:val="0"/>
                <w:sz w:val="17"/>
              </w:rPr>
            </w:r>
            <w:r>
              <w:rPr>
                <w:b w:val="0"/>
                <w:sz w:val="17"/>
              </w:rPr>
              <w:t>Private company limited by shares, England and Wales</w:t>
            </w:r>
          </w:p>
        </w:tc>
        <w:tc>
          <w:tcPr>
            <w:tcW w:type="dxa" w:w="2412"/>
          </w:tcPr>
          <w:p>
            <w:r>
              <w:rPr>
                <w:b w:val="0"/>
                <w:sz w:val="17"/>
              </w:rPr>
            </w:r>
            <w:r>
              <w:rPr>
                <w:b w:val="0"/>
                <w:sz w:val="17"/>
              </w:rPr>
              <w:t>Standard for SEIS/EIS and investor readiness</w:t>
            </w:r>
          </w:p>
        </w:tc>
        <w:tc>
          <w:tcPr>
            <w:tcW w:type="dxa" w:w="2412"/>
          </w:tcPr>
          <w:p>
            <w:r>
              <w:rPr>
                <w:b w:val="0"/>
                <w:sz w:val="17"/>
              </w:rPr>
            </w:r>
            <w:r>
              <w:rPr>
                <w:b w:val="0"/>
                <w:sz w:val="17"/>
              </w:rPr>
              <w:t>[ACCOUNTANT] on group structure timing</w:t>
            </w:r>
          </w:p>
        </w:tc>
      </w:tr>
      <w:tr>
        <w:tc>
          <w:tcPr>
            <w:tcW w:type="dxa" w:w="2412"/>
          </w:tcPr>
          <w:p>
            <w:r>
              <w:rPr>
                <w:b w:val="0"/>
                <w:sz w:val="17"/>
              </w:rPr>
            </w:r>
            <w:r>
              <w:rPr>
                <w:b w:val="0"/>
                <w:sz w:val="17"/>
              </w:rPr>
              <w:t>Name</w:t>
            </w:r>
          </w:p>
        </w:tc>
        <w:tc>
          <w:tcPr>
            <w:tcW w:type="dxa" w:w="2412"/>
          </w:tcPr>
          <w:p>
            <w:r>
              <w:rPr>
                <w:b w:val="0"/>
                <w:sz w:val="17"/>
              </w:rPr>
            </w:r>
            <w:r>
              <w:rPr>
                <w:b w:val="0"/>
                <w:sz w:val="17"/>
              </w:rPr>
              <w:t>"Vytalix Group Ltd" or "Vytalix Health Technologies Ltd" (FACTS_BASE A1), subject to §8 clearance; the "Vitalyx" spelling is retired</w:t>
            </w:r>
          </w:p>
        </w:tc>
        <w:tc>
          <w:tcPr>
            <w:tcW w:type="dxa" w:w="2412"/>
          </w:tcPr>
          <w:p>
            <w:r>
              <w:rPr>
                <w:b w:val="0"/>
                <w:sz w:val="17"/>
              </w:rPr>
            </w:r>
            <w:r>
              <w:rPr>
                <w:b w:val="0"/>
                <w:sz w:val="17"/>
              </w:rPr>
              <w:t>Companies House rejects names "same as" an existing name; "similar" names can be challenged post-registration; VITALIX LTD ×2 exist (VERIFIED via search; registry TO VALIDATE)</w:t>
            </w:r>
          </w:p>
        </w:tc>
        <w:tc>
          <w:tcPr>
            <w:tcW w:type="dxa" w:w="2412"/>
          </w:tcPr>
          <w:p>
            <w:r>
              <w:rPr>
                <w:b w:val="0"/>
                <w:sz w:val="17"/>
              </w:rPr>
            </w:r>
            <w:r>
              <w:rPr>
                <w:b w:val="0"/>
                <w:sz w:val="17"/>
              </w:rPr>
              <w:t>[SOLICITOR] if a name objection risk is material</w:t>
            </w:r>
          </w:p>
        </w:tc>
      </w:tr>
      <w:tr>
        <w:tc>
          <w:tcPr>
            <w:tcW w:type="dxa" w:w="2412"/>
          </w:tcPr>
          <w:p>
            <w:r>
              <w:rPr>
                <w:b w:val="0"/>
                <w:sz w:val="17"/>
              </w:rPr>
            </w:r>
            <w:r>
              <w:rPr>
                <w:b w:val="0"/>
                <w:sz w:val="17"/>
              </w:rPr>
              <w:t>Incorporation fee</w:t>
            </w:r>
          </w:p>
        </w:tc>
        <w:tc>
          <w:tcPr>
            <w:tcW w:type="dxa" w:w="2412"/>
          </w:tcPr>
          <w:p>
            <w:r>
              <w:rPr>
                <w:b w:val="0"/>
                <w:sz w:val="17"/>
              </w:rPr>
            </w:r>
            <w:r>
              <w:rPr>
                <w:b w:val="0"/>
                <w:sz w:val="17"/>
              </w:rPr>
              <w:t>Digital incorporation</w:t>
            </w:r>
          </w:p>
        </w:tc>
        <w:tc>
          <w:tcPr>
            <w:tcW w:type="dxa" w:w="2412"/>
          </w:tcPr>
          <w:p>
            <w:r>
              <w:rPr>
                <w:b w:val="0"/>
                <w:sz w:val="17"/>
              </w:rPr>
            </w:r>
            <w:r>
              <w:rPr>
                <w:b/>
                <w:sz w:val="17"/>
              </w:rPr>
              <w:t>£100</w:t>
            </w:r>
            <w:r>
              <w:rPr>
                <w:b w:val="0"/>
                <w:sz w:val="17"/>
              </w:rPr>
              <w:t xml:space="preserve"> (digital) from 1 February 2026; £124 paper. Source: https://www.gov.uk/government/news/companies-house-fees-are-changing-from-1-february-2026 ; https://www.icaew.com/insights/viewpoints-on-the-news/2025/nov-2025/significant-hikes-to-companies-house-fees-in-2026</w:t>
            </w:r>
          </w:p>
        </w:tc>
        <w:tc>
          <w:tcPr>
            <w:tcW w:type="dxa" w:w="2412"/>
          </w:tcPr>
          <w:p>
            <w:r>
              <w:rPr>
                <w:b w:val="0"/>
                <w:sz w:val="17"/>
              </w:rPr>
            </w:r>
            <w:r>
              <w:rPr>
                <w:b w:val="0"/>
                <w:sz w:val="17"/>
              </w:rPr>
              <w:t>—</w:t>
            </w:r>
          </w:p>
        </w:tc>
      </w:tr>
      <w:tr>
        <w:tc>
          <w:tcPr>
            <w:tcW w:type="dxa" w:w="2412"/>
          </w:tcPr>
          <w:p>
            <w:r>
              <w:rPr>
                <w:b w:val="0"/>
                <w:sz w:val="17"/>
              </w:rPr>
            </w:r>
            <w:r>
              <w:rPr>
                <w:b w:val="0"/>
                <w:sz w:val="17"/>
              </w:rPr>
              <w:t>Confirmation statement</w:t>
            </w:r>
          </w:p>
        </w:tc>
        <w:tc>
          <w:tcPr>
            <w:tcW w:type="dxa" w:w="2412"/>
          </w:tcPr>
          <w:p>
            <w:r>
              <w:rPr>
                <w:b w:val="0"/>
                <w:sz w:val="17"/>
              </w:rPr>
            </w:r>
            <w:r>
              <w:rPr>
                <w:b w:val="0"/>
                <w:sz w:val="17"/>
              </w:rPr>
              <w:t>Annual</w:t>
            </w:r>
          </w:p>
        </w:tc>
        <w:tc>
          <w:tcPr>
            <w:tcW w:type="dxa" w:w="2412"/>
          </w:tcPr>
          <w:p>
            <w:r>
              <w:rPr>
                <w:b w:val="0"/>
                <w:sz w:val="17"/>
              </w:rPr>
            </w:r>
            <w:r>
              <w:rPr>
                <w:b/>
                <w:sz w:val="17"/>
              </w:rPr>
              <w:t>£50</w:t>
            </w:r>
            <w:r>
              <w:rPr>
                <w:b w:val="0"/>
                <w:sz w:val="17"/>
              </w:rPr>
              <w:t xml:space="preserve"> digital (£110 paper) from 1 February 2026 (same sources)</w:t>
            </w:r>
          </w:p>
        </w:tc>
        <w:tc>
          <w:tcPr>
            <w:tcW w:type="dxa" w:w="2412"/>
          </w:tcPr>
          <w:p>
            <w:r>
              <w:rPr>
                <w:b w:val="0"/>
                <w:sz w:val="17"/>
              </w:rPr>
            </w:r>
            <w:r>
              <w:rPr>
                <w:b w:val="0"/>
                <w:sz w:val="17"/>
              </w:rPr>
              <w:t>—</w:t>
            </w:r>
          </w:p>
        </w:tc>
      </w:tr>
      <w:tr>
        <w:tc>
          <w:tcPr>
            <w:tcW w:type="dxa" w:w="2412"/>
          </w:tcPr>
          <w:p>
            <w:r>
              <w:rPr>
                <w:b w:val="0"/>
                <w:sz w:val="17"/>
              </w:rPr>
            </w:r>
            <w:r>
              <w:rPr>
                <w:b w:val="0"/>
                <w:sz w:val="17"/>
              </w:rPr>
              <w:t>Registered office</w:t>
            </w:r>
          </w:p>
        </w:tc>
        <w:tc>
          <w:tcPr>
            <w:tcW w:type="dxa" w:w="2412"/>
          </w:tcPr>
          <w:p>
            <w:r>
              <w:rPr>
                <w:b w:val="0"/>
                <w:sz w:val="17"/>
              </w:rPr>
            </w:r>
            <w:r>
              <w:rPr>
                <w:b w:val="0"/>
                <w:sz w:val="17"/>
              </w:rPr>
              <w:t>Founder's address or a registered-office service (ESTIMATE £30–£100/yr)</w:t>
            </w:r>
          </w:p>
        </w:tc>
        <w:tc>
          <w:tcPr>
            <w:tcW w:type="dxa" w:w="2412"/>
          </w:tcPr>
          <w:p>
            <w:r>
              <w:rPr>
                <w:b w:val="0"/>
                <w:sz w:val="17"/>
              </w:rPr>
            </w:r>
            <w:r>
              <w:rPr>
                <w:b w:val="0"/>
                <w:sz w:val="17"/>
              </w:rPr>
              <w:t>Address appears on the public register</w:t>
            </w:r>
          </w:p>
        </w:tc>
        <w:tc>
          <w:tcPr>
            <w:tcW w:type="dxa" w:w="2412"/>
          </w:tcPr>
          <w:p>
            <w:r>
              <w:rPr>
                <w:b w:val="0"/>
                <w:sz w:val="17"/>
              </w:rPr>
            </w:r>
            <w:r>
              <w:rPr>
                <w:b w:val="0"/>
                <w:sz w:val="17"/>
              </w:rPr>
              <w:t>—</w:t>
            </w:r>
          </w:p>
        </w:tc>
      </w:tr>
      <w:tr>
        <w:tc>
          <w:tcPr>
            <w:tcW w:type="dxa" w:w="2412"/>
          </w:tcPr>
          <w:p>
            <w:r>
              <w:rPr>
                <w:b w:val="0"/>
                <w:sz w:val="17"/>
              </w:rPr>
            </w:r>
            <w:r>
              <w:rPr>
                <w:b w:val="0"/>
                <w:sz w:val="17"/>
              </w:rPr>
              <w:t>Directors / PSCs</w:t>
            </w:r>
          </w:p>
        </w:tc>
        <w:tc>
          <w:tcPr>
            <w:tcW w:type="dxa" w:w="2412"/>
          </w:tcPr>
          <w:p>
            <w:r>
              <w:rPr>
                <w:b w:val="0"/>
                <w:sz w:val="17"/>
              </w:rPr>
            </w:r>
            <w:r>
              <w:rPr>
                <w:b w:val="0"/>
                <w:sz w:val="17"/>
              </w:rPr>
              <w:t>Founder as sole director initially; identity verification for directors/PSCs under the Economic Crime and Corporate Transparency Act (TO VALIDATE current mandatory date and process)</w:t>
            </w:r>
          </w:p>
        </w:tc>
        <w:tc>
          <w:tcPr>
            <w:tcW w:type="dxa" w:w="2412"/>
          </w:tcPr>
          <w:p>
            <w:r>
              <w:rPr>
                <w:b w:val="0"/>
                <w:sz w:val="17"/>
              </w:rPr>
            </w:r>
            <w:r>
              <w:rPr>
                <w:b w:val="0"/>
                <w:sz w:val="17"/>
              </w:rPr>
              <w:t>—</w:t>
            </w:r>
          </w:p>
        </w:tc>
        <w:tc>
          <w:tcPr>
            <w:tcW w:type="dxa" w:w="2412"/>
          </w:tcPr>
          <w:p>
            <w:r>
              <w:rPr>
                <w:b w:val="0"/>
                <w:sz w:val="17"/>
              </w:rPr>
            </w:r>
            <w:r>
              <w:rPr>
                <w:b w:val="0"/>
                <w:sz w:val="17"/>
              </w:rPr>
              <w:t>[ACCOUNTANT]</w:t>
            </w:r>
          </w:p>
        </w:tc>
      </w:tr>
      <w:tr>
        <w:tc>
          <w:tcPr>
            <w:tcW w:type="dxa" w:w="2412"/>
          </w:tcPr>
          <w:p>
            <w:r>
              <w:rPr>
                <w:b w:val="0"/>
                <w:sz w:val="17"/>
              </w:rPr>
            </w:r>
            <w:r>
              <w:rPr>
                <w:b w:val="0"/>
                <w:sz w:val="17"/>
              </w:rPr>
              <w:t>Share capital</w:t>
            </w:r>
          </w:p>
        </w:tc>
        <w:tc>
          <w:tcPr>
            <w:tcW w:type="dxa" w:w="2412"/>
          </w:tcPr>
          <w:p>
            <w:r>
              <w:rPr>
                <w:b w:val="0"/>
                <w:sz w:val="17"/>
              </w:rPr>
            </w:r>
            <w:r>
              <w:rPr>
                <w:b w:val="0"/>
                <w:sz w:val="17"/>
              </w:rPr>
              <w:t>e.g. 10,000 ordinary shares at £0.01 (ESTIMATE); leave headroom for an option pool and for any equity granted under the IP settlement (§8.3)</w:t>
            </w:r>
          </w:p>
        </w:tc>
        <w:tc>
          <w:tcPr>
            <w:tcW w:type="dxa" w:w="2412"/>
          </w:tcPr>
          <w:p>
            <w:r>
              <w:rPr>
                <w:b w:val="0"/>
                <w:sz w:val="17"/>
              </w:rPr>
            </w:r>
            <w:r>
              <w:rPr>
                <w:b w:val="0"/>
                <w:sz w:val="17"/>
              </w:rPr>
              <w:t>Model articles or bespoke articles</w:t>
            </w:r>
          </w:p>
        </w:tc>
        <w:tc>
          <w:tcPr>
            <w:tcW w:type="dxa" w:w="2412"/>
          </w:tcPr>
          <w:p>
            <w:r>
              <w:rPr>
                <w:b w:val="0"/>
                <w:sz w:val="17"/>
              </w:rPr>
            </w:r>
            <w:r>
              <w:rPr>
                <w:b w:val="0"/>
                <w:sz w:val="17"/>
              </w:rPr>
              <w:t>[SOLICITOR] if bespoke articles / share classes</w:t>
            </w:r>
          </w:p>
        </w:tc>
      </w:tr>
      <w:tr>
        <w:tc>
          <w:tcPr>
            <w:tcW w:type="dxa" w:w="2412"/>
          </w:tcPr>
          <w:p>
            <w:r>
              <w:rPr>
                <w:b w:val="0"/>
                <w:sz w:val="17"/>
              </w:rPr>
            </w:r>
            <w:r>
              <w:rPr>
                <w:b w:val="0"/>
                <w:sz w:val="17"/>
              </w:rPr>
              <w:t>Articles and shareholders' agreement</w:t>
            </w:r>
          </w:p>
        </w:tc>
        <w:tc>
          <w:tcPr>
            <w:tcW w:type="dxa" w:w="2412"/>
          </w:tcPr>
          <w:p>
            <w:r>
              <w:rPr>
                <w:b w:val="0"/>
                <w:sz w:val="17"/>
              </w:rPr>
            </w:r>
            <w:r>
              <w:rPr>
                <w:b w:val="0"/>
                <w:sz w:val="17"/>
              </w:rPr>
              <w:t>Model articles at incorporation; shareholders' agreement drafted before any second shareholder (including David Agunede if equity is the settlement)</w:t>
            </w:r>
          </w:p>
        </w:tc>
        <w:tc>
          <w:tcPr>
            <w:tcW w:type="dxa" w:w="2412"/>
          </w:tcPr>
          <w:p>
            <w:r>
              <w:rPr>
                <w:b w:val="0"/>
                <w:sz w:val="17"/>
              </w:rPr>
            </w:r>
            <w:r>
              <w:rPr>
                <w:b w:val="0"/>
                <w:sz w:val="17"/>
              </w:rPr>
              <w:t>ESTIMATE £1.5k–£4k</w:t>
            </w:r>
          </w:p>
        </w:tc>
        <w:tc>
          <w:tcPr>
            <w:tcW w:type="dxa" w:w="2412"/>
          </w:tcPr>
          <w:p>
            <w:r>
              <w:rPr>
                <w:b w:val="0"/>
                <w:sz w:val="17"/>
              </w:rPr>
            </w:r>
            <w:r>
              <w:rPr>
                <w:b w:val="0"/>
                <w:sz w:val="17"/>
              </w:rPr>
              <w:t>[SOLICITOR]</w:t>
            </w:r>
          </w:p>
        </w:tc>
      </w:tr>
      <w:tr>
        <w:tc>
          <w:tcPr>
            <w:tcW w:type="dxa" w:w="2412"/>
          </w:tcPr>
          <w:p>
            <w:r>
              <w:rPr>
                <w:b w:val="0"/>
                <w:sz w:val="17"/>
              </w:rPr>
            </w:r>
            <w:r>
              <w:rPr>
                <w:b w:val="0"/>
                <w:sz w:val="17"/>
              </w:rPr>
              <w:t>Bank account</w:t>
            </w:r>
          </w:p>
        </w:tc>
        <w:tc>
          <w:tcPr>
            <w:tcW w:type="dxa" w:w="2412"/>
          </w:tcPr>
          <w:p>
            <w:r>
              <w:rPr>
                <w:b w:val="0"/>
                <w:sz w:val="17"/>
              </w:rPr>
            </w:r>
            <w:r>
              <w:rPr>
                <w:b w:val="0"/>
                <w:sz w:val="17"/>
              </w:rPr>
              <w:t>Open immediately after incorporation (challenger banks are fastest; TO VALIDATE)</w:t>
            </w:r>
          </w:p>
        </w:tc>
        <w:tc>
          <w:tcPr>
            <w:tcW w:type="dxa" w:w="2412"/>
          </w:tcPr>
          <w:p>
            <w:r>
              <w:rPr>
                <w:b w:val="0"/>
                <w:sz w:val="17"/>
              </w:rPr>
            </w:r>
            <w:r>
              <w:rPr>
                <w:b w:val="0"/>
                <w:sz w:val="17"/>
              </w:rPr>
              <w:t>£0–£10/month</w:t>
            </w:r>
          </w:p>
        </w:tc>
        <w:tc>
          <w:tcPr>
            <w:tcW w:type="dxa" w:w="2412"/>
          </w:tcPr>
          <w:p>
            <w:r>
              <w:rPr>
                <w:b w:val="0"/>
                <w:sz w:val="17"/>
              </w:rPr>
            </w:r>
            <w:r>
              <w:rPr>
                <w:b w:val="0"/>
                <w:sz w:val="17"/>
              </w:rPr>
              <w:t>—</w:t>
            </w:r>
          </w:p>
        </w:tc>
      </w:tr>
      <w:tr>
        <w:tc>
          <w:tcPr>
            <w:tcW w:type="dxa" w:w="2412"/>
          </w:tcPr>
          <w:p>
            <w:r>
              <w:rPr>
                <w:b w:val="0"/>
                <w:sz w:val="17"/>
              </w:rPr>
            </w:r>
            <w:r>
              <w:rPr>
                <w:b w:val="0"/>
                <w:sz w:val="17"/>
              </w:rPr>
              <w:t>Accountant</w:t>
            </w:r>
          </w:p>
        </w:tc>
        <w:tc>
          <w:tcPr>
            <w:tcW w:type="dxa" w:w="2412"/>
          </w:tcPr>
          <w:p>
            <w:r>
              <w:rPr>
                <w:b w:val="0"/>
                <w:sz w:val="17"/>
              </w:rPr>
            </w:r>
            <w:r>
              <w:rPr>
                <w:b w:val="0"/>
                <w:sz w:val="17"/>
              </w:rPr>
              <w:t>Appoint on incorporation; Corporation Tax registration, PAYE if salaried, VAT decision (threshold £90,000 taxable turnover in 12 months — TO VALIDATE current threshold), R&amp;D tax relief eligibility later</w:t>
            </w:r>
          </w:p>
        </w:tc>
        <w:tc>
          <w:tcPr>
            <w:tcW w:type="dxa" w:w="2412"/>
          </w:tcPr>
          <w:p>
            <w:r>
              <w:rPr>
                <w:b w:val="0"/>
                <w:sz w:val="17"/>
              </w:rPr>
            </w:r>
            <w:r>
              <w:rPr>
                <w:b w:val="0"/>
                <w:sz w:val="17"/>
              </w:rPr>
              <w:t>ESTIMATE £80–£200/month</w:t>
            </w:r>
          </w:p>
        </w:tc>
        <w:tc>
          <w:tcPr>
            <w:tcW w:type="dxa" w:w="2412"/>
          </w:tcPr>
          <w:p>
            <w:r>
              <w:rPr>
                <w:b w:val="0"/>
                <w:sz w:val="17"/>
              </w:rPr>
            </w:r>
            <w:r>
              <w:rPr>
                <w:b w:val="0"/>
                <w:sz w:val="17"/>
              </w:rPr>
              <w:t>[ACCOUNTANT]</w:t>
            </w:r>
          </w:p>
        </w:tc>
      </w:tr>
      <w:tr>
        <w:tc>
          <w:tcPr>
            <w:tcW w:type="dxa" w:w="2412"/>
          </w:tcPr>
          <w:p>
            <w:r>
              <w:rPr>
                <w:b w:val="0"/>
                <w:sz w:val="17"/>
              </w:rPr>
            </w:r>
            <w:r>
              <w:rPr>
                <w:b w:val="0"/>
                <w:sz w:val="17"/>
              </w:rPr>
              <w:t>SEIS/EIS advance assurance</w:t>
            </w:r>
          </w:p>
        </w:tc>
        <w:tc>
          <w:tcPr>
            <w:tcW w:type="dxa" w:w="2412"/>
          </w:tcPr>
          <w:p>
            <w:r>
              <w:rPr>
                <w:b w:val="0"/>
                <w:sz w:val="17"/>
              </w:rPr>
            </w:r>
            <w:r>
              <w:rPr>
                <w:b w:val="0"/>
                <w:sz w:val="17"/>
              </w:rPr>
              <w:t>Apply once incorporated and a plan and prospective investor exist (HMRC generally expects an identified investor — TO VALIDATE)</w:t>
            </w:r>
          </w:p>
        </w:tc>
        <w:tc>
          <w:tcPr>
            <w:tcW w:type="dxa" w:w="2412"/>
          </w:tcPr>
          <w:p>
            <w:r>
              <w:rPr>
                <w:b w:val="0"/>
                <w:sz w:val="17"/>
              </w:rPr>
            </w:r>
            <w:r>
              <w:rPr>
                <w:b w:val="0"/>
                <w:sz w:val="17"/>
              </w:rPr>
              <w:t>£0 HMRC fee; adviser ESTIMATE £500–£1,500</w:t>
            </w:r>
          </w:p>
        </w:tc>
        <w:tc>
          <w:tcPr>
            <w:tcW w:type="dxa" w:w="2412"/>
          </w:tcPr>
          <w:p>
            <w:r>
              <w:rPr>
                <w:b w:val="0"/>
                <w:sz w:val="17"/>
              </w:rPr>
            </w:r>
            <w:r>
              <w:rPr>
                <w:b w:val="0"/>
                <w:sz w:val="17"/>
              </w:rPr>
              <w:t>[ACCOUNTANT]</w:t>
            </w:r>
          </w:p>
        </w:tc>
      </w:tr>
      <w:tr>
        <w:tc>
          <w:tcPr>
            <w:tcW w:type="dxa" w:w="2412"/>
          </w:tcPr>
          <w:p>
            <w:r>
              <w:rPr>
                <w:b w:val="0"/>
                <w:sz w:val="17"/>
              </w:rPr>
            </w:r>
            <w:r>
              <w:rPr>
                <w:b w:val="0"/>
                <w:sz w:val="17"/>
              </w:rPr>
              <w:t>Group structure</w:t>
            </w:r>
          </w:p>
        </w:tc>
        <w:tc>
          <w:tcPr>
            <w:tcW w:type="dxa" w:w="2412"/>
          </w:tcPr>
          <w:p>
            <w:r>
              <w:rPr>
                <w:b w:val="0"/>
                <w:sz w:val="17"/>
              </w:rPr>
            </w:r>
            <w:r>
              <w:rPr>
                <w:b w:val="0"/>
                <w:sz w:val="17"/>
              </w:rPr>
              <w:t>Single company first; subsidiaries (Health Solutions, E-Learning) only when revenue, IP or investors require them</w:t>
            </w:r>
          </w:p>
        </w:tc>
        <w:tc>
          <w:tcPr>
            <w:tcW w:type="dxa" w:w="2412"/>
          </w:tcPr>
          <w:p>
            <w:r>
              <w:rPr>
                <w:b w:val="0"/>
                <w:sz w:val="17"/>
              </w:rPr>
            </w:r>
            <w:r>
              <w:rPr>
                <w:b w:val="0"/>
                <w:sz w:val="17"/>
              </w:rPr>
              <w:t>Each subsidiary adds £100 + £50/yr + accounts</w:t>
            </w:r>
          </w:p>
        </w:tc>
        <w:tc>
          <w:tcPr>
            <w:tcW w:type="dxa" w:w="2412"/>
          </w:tcPr>
          <w:p>
            <w:r>
              <w:rPr>
                <w:b w:val="0"/>
                <w:sz w:val="17"/>
              </w:rPr>
            </w:r>
            <w:r>
              <w:rPr>
                <w:b w:val="0"/>
                <w:sz w:val="17"/>
              </w:rPr>
              <w:t>[ACCOUNTANT]</w:t>
            </w:r>
          </w:p>
        </w:tc>
      </w:tr>
      <w:tr>
        <w:tc>
          <w:tcPr>
            <w:tcW w:type="dxa" w:w="2412"/>
          </w:tcPr>
          <w:p>
            <w:r>
              <w:rPr>
                <w:b w:val="0"/>
                <w:sz w:val="17"/>
              </w:rPr>
            </w:r>
            <w:r>
              <w:rPr>
                <w:b w:val="0"/>
                <w:sz w:val="17"/>
              </w:rPr>
              <w:t>Statutory registers, PSC register, board minutes</w:t>
            </w:r>
          </w:p>
        </w:tc>
        <w:tc>
          <w:tcPr>
            <w:tcW w:type="dxa" w:w="2412"/>
          </w:tcPr>
          <w:p>
            <w:r>
              <w:rPr>
                <w:b w:val="0"/>
                <w:sz w:val="17"/>
              </w:rPr>
            </w:r>
            <w:r>
              <w:rPr>
                <w:b w:val="0"/>
                <w:sz w:val="17"/>
              </w:rPr>
              <w:t>Maintain from Day 1 in a "corporate" folder; first board minute records adoption of policies and IP assignments</w:t>
            </w:r>
          </w:p>
        </w:tc>
        <w:tc>
          <w:tcPr>
            <w:tcW w:type="dxa" w:w="2412"/>
          </w:tcPr>
          <w:p>
            <w:r>
              <w:rPr>
                <w:b w:val="0"/>
                <w:sz w:val="17"/>
              </w:rPr>
            </w:r>
            <w:r>
              <w:rPr>
                <w:b w:val="0"/>
                <w:sz w:val="17"/>
              </w:rPr>
              <w:t>—</w:t>
            </w:r>
          </w:p>
        </w:tc>
        <w:tc>
          <w:tcPr>
            <w:tcW w:type="dxa" w:w="2412"/>
          </w:tcPr>
          <w:p>
            <w:r>
              <w:rPr>
                <w:b w:val="0"/>
                <w:sz w:val="17"/>
              </w:rPr>
            </w:r>
            <w:r>
              <w:rPr>
                <w:b w:val="0"/>
                <w:sz w:val="17"/>
              </w:rPr>
              <w:t>—</w:t>
            </w:r>
          </w:p>
        </w:tc>
      </w:tr>
    </w:tbl>
    <w:p/>
    <w:p>
      <w:r>
        <w:t>Pre-incorporation selling: any engagement signed before the company exists is a personal contract of the founder (sole trader). Keep it short, insured (PI can be bought as a sole trader) and novate to the company on incorporation. [SOLICITOR] for the novation wording.</w:t>
      </w:r>
    </w:p>
    <w:p>
      <w:pPr>
        <w:pStyle w:val="Heading2"/>
      </w:pPr>
      <w:r>
        <w:t>2. Data protection — UK GDPR and Data Protection Act 2018</w:t>
      </w:r>
    </w:p>
    <w:p>
      <w:pPr>
        <w:pStyle w:val="Heading3"/>
      </w:pPr>
      <w:r>
        <w:t>2.1 Regulator and registration</w:t>
      </w:r>
    </w:p>
    <w:p>
      <w:pPr>
        <w:pStyle w:val="ListBullet"/>
      </w:pPr>
      <w:r>
        <w:rPr>
          <w:b/>
        </w:rPr>
        <w:t>ICO data-protection fee</w:t>
      </w:r>
      <w:r>
        <w:t xml:space="preserve"> (payable by most controllers): </w:t>
      </w:r>
      <w:r>
        <w:rPr>
          <w:b/>
        </w:rPr>
        <w:t>Tier 1 £52</w:t>
      </w:r>
      <w:r>
        <w:t xml:space="preserve"> (max turnover £632k or ≤10 staff), </w:t>
      </w:r>
      <w:r>
        <w:rPr>
          <w:b/>
        </w:rPr>
        <w:t>Tier 2 £78</w:t>
      </w:r>
      <w:r>
        <w:t xml:space="preserve"> (turnover ≤£36m or ≤250 staff), </w:t>
      </w:r>
      <w:r>
        <w:rPr>
          <w:b/>
        </w:rPr>
        <w:t>Tier 3 £3,763</w:t>
      </w:r>
      <w:r>
        <w:t>; £5 discount for direct debit; unchanged since February 2025. Sources: https://ico.org.uk/for-organisations/data-protection-fee/data-protection-fee/ ; https://ico.org.uk/for-organisations/data-protection-fee/ . Vytalix is Tier 1. Register within 21 days of starting to process personal data as a controller (TO VALIDATE that an exemption does not apply — it will not once a CRM and newsletter exist).</w:t>
      </w:r>
    </w:p>
    <w:p>
      <w:pPr>
        <w:pStyle w:val="ListBullet"/>
      </w:pPr>
      <w:r>
        <w:rPr>
          <w:b/>
        </w:rPr>
        <w:t>Data (Use and Access) Act 2025</w:t>
      </w:r>
      <w:r>
        <w:t>: Royal Assent 19 June 2025; provisions phased in to June 2026, many effective 5 February 2026; amends UK GDPR, DPA 2018 and PECR (e.g. "recognised legitimate interests", complaints handling, some cookie changes). Sources: https://ico.org.uk/about-the-ico/what-we-do/legislation-we-cover/data-use-and-access-act-2025/ ; https://www.farrer.co.uk/news-and-insights/data-use-and-access-act-2025-five-key-changes-for-businesses/ . Policies must be drafted against the amended law. [SOLICITOR] or a data-protection consultant to confirm the current text.</w:t>
      </w:r>
    </w:p>
    <w:p>
      <w:pPr>
        <w:pStyle w:val="Heading3"/>
      </w:pPr>
      <w:r>
        <w:t>2.2 Roles and processing inventory (PROPOSED)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Activity</w:t>
            </w:r>
          </w:p>
        </w:tc>
        <w:tc>
          <w:tcPr>
            <w:tcW w:type="dxa" w:w="1930"/>
          </w:tcPr>
          <w:p>
            <w:r>
              <w:rPr>
                <w:b/>
                <w:sz w:val="17"/>
              </w:rPr>
            </w:r>
            <w:r>
              <w:rPr>
                <w:b/>
                <w:sz w:val="17"/>
              </w:rPr>
              <w:t>Vytalix role</w:t>
            </w:r>
          </w:p>
        </w:tc>
        <w:tc>
          <w:tcPr>
            <w:tcW w:type="dxa" w:w="1930"/>
          </w:tcPr>
          <w:p>
            <w:r>
              <w:rPr>
                <w:b/>
                <w:sz w:val="17"/>
              </w:rPr>
            </w:r>
            <w:r>
              <w:rPr>
                <w:b/>
                <w:sz w:val="17"/>
              </w:rPr>
              <w:t>Data</w:t>
            </w:r>
          </w:p>
        </w:tc>
        <w:tc>
          <w:tcPr>
            <w:tcW w:type="dxa" w:w="1930"/>
          </w:tcPr>
          <w:p>
            <w:r>
              <w:rPr>
                <w:b/>
                <w:sz w:val="17"/>
              </w:rPr>
            </w:r>
            <w:r>
              <w:rPr>
                <w:b/>
                <w:sz w:val="17"/>
              </w:rPr>
              <w:t>Lawful basis (Art. 6)</w:t>
            </w:r>
          </w:p>
        </w:tc>
        <w:tc>
          <w:tcPr>
            <w:tcW w:type="dxa" w:w="1930"/>
          </w:tcPr>
          <w:p>
            <w:r>
              <w:rPr>
                <w:b/>
                <w:sz w:val="17"/>
              </w:rPr>
            </w:r>
            <w:r>
              <w:rPr>
                <w:b/>
                <w:sz w:val="17"/>
              </w:rPr>
              <w:t>Special-category condition (Art. 9 + DPA 2018 Sch. 1)</w:t>
            </w:r>
          </w:p>
        </w:tc>
      </w:tr>
      <w:tr>
        <w:tc>
          <w:tcPr>
            <w:tcW w:type="dxa" w:w="1930"/>
          </w:tcPr>
          <w:p>
            <w:r>
              <w:rPr>
                <w:b w:val="0"/>
                <w:sz w:val="17"/>
              </w:rPr>
            </w:r>
            <w:r>
              <w:rPr>
                <w:b w:val="0"/>
                <w:sz w:val="17"/>
              </w:rPr>
              <w:t>Sales CRM, outreach to business contacts</w:t>
            </w:r>
          </w:p>
        </w:tc>
        <w:tc>
          <w:tcPr>
            <w:tcW w:type="dxa" w:w="1930"/>
          </w:tcPr>
          <w:p>
            <w:r>
              <w:rPr>
                <w:b w:val="0"/>
                <w:sz w:val="17"/>
              </w:rPr>
            </w:r>
            <w:r>
              <w:rPr>
                <w:b w:val="0"/>
                <w:sz w:val="17"/>
              </w:rPr>
              <w:t>Controller</w:t>
            </w:r>
          </w:p>
        </w:tc>
        <w:tc>
          <w:tcPr>
            <w:tcW w:type="dxa" w:w="1930"/>
          </w:tcPr>
          <w:p>
            <w:r>
              <w:rPr>
                <w:b w:val="0"/>
                <w:sz w:val="17"/>
              </w:rPr>
            </w:r>
            <w:r>
              <w:rPr>
                <w:b w:val="0"/>
                <w:sz w:val="17"/>
              </w:rPr>
              <w:t>Business contact data</w:t>
            </w:r>
          </w:p>
        </w:tc>
        <w:tc>
          <w:tcPr>
            <w:tcW w:type="dxa" w:w="1930"/>
          </w:tcPr>
          <w:p>
            <w:r>
              <w:rPr>
                <w:b w:val="0"/>
                <w:sz w:val="17"/>
              </w:rPr>
            </w:r>
            <w:r>
              <w:rPr>
                <w:b w:val="0"/>
                <w:sz w:val="17"/>
              </w:rPr>
              <w:t>Legitimate interests (LIA documented)</w:t>
            </w:r>
          </w:p>
        </w:tc>
        <w:tc>
          <w:tcPr>
            <w:tcW w:type="dxa" w:w="1930"/>
          </w:tcPr>
          <w:p>
            <w:r>
              <w:rPr>
                <w:b w:val="0"/>
                <w:sz w:val="17"/>
              </w:rPr>
            </w:r>
            <w:r>
              <w:rPr>
                <w:b w:val="0"/>
                <w:sz w:val="17"/>
              </w:rPr>
              <w:t>n/a</w:t>
            </w:r>
          </w:p>
        </w:tc>
      </w:tr>
      <w:tr>
        <w:tc>
          <w:tcPr>
            <w:tcW w:type="dxa" w:w="1930"/>
          </w:tcPr>
          <w:p>
            <w:r>
              <w:rPr>
                <w:b w:val="0"/>
                <w:sz w:val="17"/>
              </w:rPr>
            </w:r>
            <w:r>
              <w:rPr>
                <w:b w:val="0"/>
                <w:sz w:val="17"/>
              </w:rPr>
              <w:t>Newsletter, webinar registration</w:t>
            </w:r>
          </w:p>
        </w:tc>
        <w:tc>
          <w:tcPr>
            <w:tcW w:type="dxa" w:w="1930"/>
          </w:tcPr>
          <w:p>
            <w:r>
              <w:rPr>
                <w:b w:val="0"/>
                <w:sz w:val="17"/>
              </w:rPr>
            </w:r>
            <w:r>
              <w:rPr>
                <w:b w:val="0"/>
                <w:sz w:val="17"/>
              </w:rPr>
              <w:t>Controller</w:t>
            </w:r>
          </w:p>
        </w:tc>
        <w:tc>
          <w:tcPr>
            <w:tcW w:type="dxa" w:w="1930"/>
          </w:tcPr>
          <w:p>
            <w:r>
              <w:rPr>
                <w:b w:val="0"/>
                <w:sz w:val="17"/>
              </w:rPr>
            </w:r>
            <w:r>
              <w:rPr>
                <w:b w:val="0"/>
                <w:sz w:val="17"/>
              </w:rPr>
              <w:t>Name, email, employer</w:t>
            </w:r>
          </w:p>
        </w:tc>
        <w:tc>
          <w:tcPr>
            <w:tcW w:type="dxa" w:w="1930"/>
          </w:tcPr>
          <w:p>
            <w:r>
              <w:rPr>
                <w:b w:val="0"/>
                <w:sz w:val="17"/>
              </w:rPr>
            </w:r>
            <w:r>
              <w:rPr>
                <w:b w:val="0"/>
                <w:sz w:val="17"/>
              </w:rPr>
              <w:t>Consent (PECR requires consent for marketing email to individuals; corporate-subscriber rules TO VALIDATE)</w:t>
            </w:r>
          </w:p>
        </w:tc>
        <w:tc>
          <w:tcPr>
            <w:tcW w:type="dxa" w:w="1930"/>
          </w:tcPr>
          <w:p>
            <w:r>
              <w:rPr>
                <w:b w:val="0"/>
                <w:sz w:val="17"/>
              </w:rPr>
            </w:r>
            <w:r>
              <w:rPr>
                <w:b w:val="0"/>
                <w:sz w:val="17"/>
              </w:rPr>
              <w:t>n/a</w:t>
            </w:r>
          </w:p>
        </w:tc>
      </w:tr>
      <w:tr>
        <w:tc>
          <w:tcPr>
            <w:tcW w:type="dxa" w:w="1930"/>
          </w:tcPr>
          <w:p>
            <w:r>
              <w:rPr>
                <w:b w:val="0"/>
                <w:sz w:val="17"/>
              </w:rPr>
            </w:r>
            <w:r>
              <w:rPr>
                <w:b w:val="0"/>
                <w:sz w:val="17"/>
              </w:rPr>
              <w:t>Report interviews and surveys (professionals)</w:t>
            </w:r>
          </w:p>
        </w:tc>
        <w:tc>
          <w:tcPr>
            <w:tcW w:type="dxa" w:w="1930"/>
          </w:tcPr>
          <w:p>
            <w:r>
              <w:rPr>
                <w:b w:val="0"/>
                <w:sz w:val="17"/>
              </w:rPr>
            </w:r>
            <w:r>
              <w:rPr>
                <w:b w:val="0"/>
                <w:sz w:val="17"/>
              </w:rPr>
              <w:t>Controller</w:t>
            </w:r>
          </w:p>
        </w:tc>
        <w:tc>
          <w:tcPr>
            <w:tcW w:type="dxa" w:w="1930"/>
          </w:tcPr>
          <w:p>
            <w:r>
              <w:rPr>
                <w:b w:val="0"/>
                <w:sz w:val="17"/>
              </w:rPr>
            </w:r>
            <w:r>
              <w:rPr>
                <w:b w:val="0"/>
                <w:sz w:val="17"/>
              </w:rPr>
              <w:t>Opinions, role</w:t>
            </w:r>
          </w:p>
        </w:tc>
        <w:tc>
          <w:tcPr>
            <w:tcW w:type="dxa" w:w="1930"/>
          </w:tcPr>
          <w:p>
            <w:r>
              <w:rPr>
                <w:b w:val="0"/>
                <w:sz w:val="17"/>
              </w:rPr>
            </w:r>
            <w:r>
              <w:rPr>
                <w:b w:val="0"/>
                <w:sz w:val="17"/>
              </w:rPr>
              <w:t>Consent</w:t>
            </w:r>
          </w:p>
        </w:tc>
        <w:tc>
          <w:tcPr>
            <w:tcW w:type="dxa" w:w="1930"/>
          </w:tcPr>
          <w:p>
            <w:r>
              <w:rPr>
                <w:b w:val="0"/>
                <w:sz w:val="17"/>
              </w:rPr>
            </w:r>
            <w:r>
              <w:rPr>
                <w:b w:val="0"/>
                <w:sz w:val="17"/>
              </w:rPr>
              <w:t>n/a (avoid health data about the participant)</w:t>
            </w:r>
          </w:p>
        </w:tc>
      </w:tr>
      <w:tr>
        <w:tc>
          <w:tcPr>
            <w:tcW w:type="dxa" w:w="1930"/>
          </w:tcPr>
          <w:p>
            <w:r>
              <w:rPr>
                <w:b w:val="0"/>
                <w:sz w:val="17"/>
              </w:rPr>
            </w:r>
            <w:r>
              <w:rPr>
                <w:b w:val="0"/>
                <w:sz w:val="17"/>
              </w:rPr>
              <w:t>Advisory/consulting engagements</w:t>
            </w:r>
          </w:p>
        </w:tc>
        <w:tc>
          <w:tcPr>
            <w:tcW w:type="dxa" w:w="1930"/>
          </w:tcPr>
          <w:p>
            <w:r>
              <w:rPr>
                <w:b w:val="0"/>
                <w:sz w:val="17"/>
              </w:rPr>
            </w:r>
            <w:r>
              <w:rPr>
                <w:b w:val="0"/>
                <w:sz w:val="17"/>
              </w:rPr>
              <w:t>Usually neither (no personal data) or processor if client shares data</w:t>
            </w:r>
          </w:p>
        </w:tc>
        <w:tc>
          <w:tcPr>
            <w:tcW w:type="dxa" w:w="1930"/>
          </w:tcPr>
          <w:p>
            <w:r>
              <w:rPr>
                <w:b w:val="0"/>
                <w:sz w:val="17"/>
              </w:rPr>
            </w:r>
            <w:r>
              <w:rPr>
                <w:b w:val="0"/>
                <w:sz w:val="17"/>
              </w:rPr>
              <w:t>Ideally none; client documents</w:t>
            </w:r>
          </w:p>
        </w:tc>
        <w:tc>
          <w:tcPr>
            <w:tcW w:type="dxa" w:w="1930"/>
          </w:tcPr>
          <w:p>
            <w:r>
              <w:rPr>
                <w:b w:val="0"/>
                <w:sz w:val="17"/>
              </w:rPr>
            </w:r>
            <w:r>
              <w:rPr>
                <w:b w:val="0"/>
                <w:sz w:val="17"/>
              </w:rPr>
              <w:t>Contract (with client); processor terms if any personal data</w:t>
            </w:r>
          </w:p>
        </w:tc>
        <w:tc>
          <w:tcPr>
            <w:tcW w:type="dxa" w:w="1930"/>
          </w:tcPr>
          <w:p>
            <w:r>
              <w:rPr>
                <w:b w:val="0"/>
                <w:sz w:val="17"/>
              </w:rPr>
            </w:r>
            <w:r>
              <w:rPr>
                <w:b w:val="0"/>
                <w:sz w:val="17"/>
              </w:rPr>
              <w:t>Design engagements to exclude patient data; if unavoidable, DPA + client's Art. 9 basis</w:t>
            </w:r>
          </w:p>
        </w:tc>
      </w:tr>
      <w:tr>
        <w:tc>
          <w:tcPr>
            <w:tcW w:type="dxa" w:w="1930"/>
          </w:tcPr>
          <w:p>
            <w:r>
              <w:rPr>
                <w:b w:val="0"/>
                <w:sz w:val="17"/>
              </w:rPr>
            </w:r>
            <w:r>
              <w:rPr>
                <w:b w:val="0"/>
                <w:sz w:val="17"/>
              </w:rPr>
              <w:t>MaternaLink (in development) — UK deployment</w:t>
            </w:r>
          </w:p>
        </w:tc>
        <w:tc>
          <w:tcPr>
            <w:tcW w:type="dxa" w:w="1930"/>
          </w:tcPr>
          <w:p>
            <w:r>
              <w:rPr>
                <w:b w:val="0"/>
                <w:sz w:val="17"/>
              </w:rPr>
            </w:r>
            <w:r>
              <w:rPr>
                <w:b w:val="0"/>
                <w:sz w:val="17"/>
              </w:rPr>
              <w:t>Processor for the deploying NHS/private provider (controller); Vytalix controller for account/telemetry data</w:t>
            </w:r>
          </w:p>
        </w:tc>
        <w:tc>
          <w:tcPr>
            <w:tcW w:type="dxa" w:w="1930"/>
          </w:tcPr>
          <w:p>
            <w:r>
              <w:rPr>
                <w:b w:val="0"/>
                <w:sz w:val="17"/>
              </w:rPr>
            </w:r>
            <w:r>
              <w:rPr>
                <w:b w:val="0"/>
                <w:sz w:val="17"/>
              </w:rPr>
              <w:t>Health data, contact data, messages</w:t>
            </w:r>
          </w:p>
        </w:tc>
        <w:tc>
          <w:tcPr>
            <w:tcW w:type="dxa" w:w="1930"/>
          </w:tcPr>
          <w:p>
            <w:r>
              <w:rPr>
                <w:b w:val="0"/>
                <w:sz w:val="17"/>
              </w:rPr>
            </w:r>
            <w:r>
              <w:rPr>
                <w:b w:val="0"/>
                <w:sz w:val="17"/>
              </w:rPr>
              <w:t>Processor acts on controller instructions; controller's basis typically public task / legitimate interests + Art. 9(2)(h) health/social care with DPA 2018 Sch. 1 para 2</w:t>
            </w:r>
          </w:p>
        </w:tc>
        <w:tc>
          <w:tcPr>
            <w:tcW w:type="dxa" w:w="1930"/>
          </w:tcPr>
          <w:p>
            <w:r>
              <w:rPr>
                <w:b w:val="0"/>
                <w:sz w:val="17"/>
              </w:rPr>
            </w:r>
            <w:r>
              <w:rPr>
                <w:b w:val="0"/>
                <w:sz w:val="17"/>
              </w:rPr>
              <w:t>Health or social care purposes; confidentiality duty; common-law duty of confidentiality also applies in the NHS</w:t>
            </w:r>
          </w:p>
        </w:tc>
      </w:tr>
      <w:tr>
        <w:tc>
          <w:tcPr>
            <w:tcW w:type="dxa" w:w="1930"/>
          </w:tcPr>
          <w:p>
            <w:r>
              <w:rPr>
                <w:b w:val="0"/>
                <w:sz w:val="17"/>
              </w:rPr>
            </w:r>
            <w:r>
              <w:rPr>
                <w:b w:val="0"/>
                <w:sz w:val="17"/>
              </w:rPr>
              <w:t>MaternaLink — NGO/state deployment (Nigeria)</w:t>
            </w:r>
          </w:p>
        </w:tc>
        <w:tc>
          <w:tcPr>
            <w:tcW w:type="dxa" w:w="1930"/>
          </w:tcPr>
          <w:p>
            <w:r>
              <w:rPr>
                <w:b w:val="0"/>
                <w:sz w:val="17"/>
              </w:rPr>
            </w:r>
            <w:r>
              <w:rPr>
                <w:b w:val="0"/>
                <w:sz w:val="17"/>
              </w:rPr>
              <w:t>Processor or joint controller depending on programme design</w:t>
            </w:r>
          </w:p>
        </w:tc>
        <w:tc>
          <w:tcPr>
            <w:tcW w:type="dxa" w:w="1930"/>
          </w:tcPr>
          <w:p>
            <w:r>
              <w:rPr>
                <w:b w:val="0"/>
                <w:sz w:val="17"/>
              </w:rPr>
            </w:r>
            <w:r>
              <w:rPr>
                <w:b w:val="0"/>
                <w:sz w:val="17"/>
              </w:rPr>
              <w:t>Health data</w:t>
            </w:r>
          </w:p>
        </w:tc>
        <w:tc>
          <w:tcPr>
            <w:tcW w:type="dxa" w:w="1930"/>
          </w:tcPr>
          <w:p>
            <w:r>
              <w:rPr>
                <w:b w:val="0"/>
                <w:sz w:val="17"/>
              </w:rPr>
            </w:r>
            <w:r>
              <w:rPr>
                <w:b w:val="0"/>
                <w:sz w:val="17"/>
              </w:rPr>
              <w:t>NDPA 2023 (see §12) + UK GDPR if any processing in the UK</w:t>
            </w:r>
          </w:p>
        </w:tc>
        <w:tc>
          <w:tcPr>
            <w:tcW w:type="dxa" w:w="1930"/>
          </w:tcPr>
          <w:p>
            <w:r>
              <w:rPr>
                <w:b w:val="0"/>
                <w:sz w:val="17"/>
              </w:rPr>
            </w:r>
            <w:r>
              <w:rPr>
                <w:b w:val="0"/>
                <w:sz w:val="17"/>
              </w:rPr>
              <w:t>Explicit consent likely to be required under NDPA for sensitive data; TO VALIDATE</w:t>
            </w:r>
          </w:p>
        </w:tc>
      </w:tr>
      <w:tr>
        <w:tc>
          <w:tcPr>
            <w:tcW w:type="dxa" w:w="1930"/>
          </w:tcPr>
          <w:p>
            <w:r>
              <w:rPr>
                <w:b w:val="0"/>
                <w:sz w:val="17"/>
              </w:rPr>
            </w:r>
            <w:r>
              <w:rPr>
                <w:b w:val="0"/>
                <w:sz w:val="17"/>
              </w:rPr>
              <w:t>Employees/contractors</w:t>
            </w:r>
          </w:p>
        </w:tc>
        <w:tc>
          <w:tcPr>
            <w:tcW w:type="dxa" w:w="1930"/>
          </w:tcPr>
          <w:p>
            <w:r>
              <w:rPr>
                <w:b w:val="0"/>
                <w:sz w:val="17"/>
              </w:rPr>
            </w:r>
            <w:r>
              <w:rPr>
                <w:b w:val="0"/>
                <w:sz w:val="17"/>
              </w:rPr>
              <w:t>Controller</w:t>
            </w:r>
          </w:p>
        </w:tc>
        <w:tc>
          <w:tcPr>
            <w:tcW w:type="dxa" w:w="1930"/>
          </w:tcPr>
          <w:p>
            <w:r>
              <w:rPr>
                <w:b w:val="0"/>
                <w:sz w:val="17"/>
              </w:rPr>
            </w:r>
            <w:r>
              <w:rPr>
                <w:b w:val="0"/>
                <w:sz w:val="17"/>
              </w:rPr>
              <w:t>HR data</w:t>
            </w:r>
          </w:p>
        </w:tc>
        <w:tc>
          <w:tcPr>
            <w:tcW w:type="dxa" w:w="1930"/>
          </w:tcPr>
          <w:p>
            <w:r>
              <w:rPr>
                <w:b w:val="0"/>
                <w:sz w:val="17"/>
              </w:rPr>
            </w:r>
            <w:r>
              <w:rPr>
                <w:b w:val="0"/>
                <w:sz w:val="17"/>
              </w:rPr>
              <w:t>Contract / legal obligation</w:t>
            </w:r>
          </w:p>
        </w:tc>
        <w:tc>
          <w:tcPr>
            <w:tcW w:type="dxa" w:w="1930"/>
          </w:tcPr>
          <w:p>
            <w:r>
              <w:rPr>
                <w:b w:val="0"/>
                <w:sz w:val="17"/>
              </w:rPr>
            </w:r>
            <w:r>
              <w:rPr>
                <w:b w:val="0"/>
                <w:sz w:val="17"/>
              </w:rPr>
              <w:t>Where relevant (e.g. health, right-to-work)</w:t>
            </w:r>
          </w:p>
        </w:tc>
      </w:tr>
    </w:tbl>
    <w:p/>
    <w:p>
      <w:pPr>
        <w:pStyle w:val="Heading3"/>
      </w:pPr>
      <w:r>
        <w:t>2.3 Required documents and controls (P0 before MaternaLink processes any real data; P1 for services)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Control</w:t>
            </w:r>
          </w:p>
        </w:tc>
        <w:tc>
          <w:tcPr>
            <w:tcW w:type="dxa" w:w="2412"/>
          </w:tcPr>
          <w:p>
            <w:r>
              <w:rPr>
                <w:b/>
                <w:sz w:val="17"/>
              </w:rPr>
            </w:r>
            <w:r>
              <w:rPr>
                <w:b/>
                <w:sz w:val="17"/>
              </w:rPr>
              <w:t>Trigger</w:t>
            </w:r>
          </w:p>
        </w:tc>
        <w:tc>
          <w:tcPr>
            <w:tcW w:type="dxa" w:w="2412"/>
          </w:tcPr>
          <w:p>
            <w:r>
              <w:rPr>
                <w:b/>
                <w:sz w:val="17"/>
              </w:rPr>
            </w:r>
            <w:r>
              <w:rPr>
                <w:b/>
                <w:sz w:val="17"/>
              </w:rPr>
              <w:t>Owner</w:t>
            </w:r>
          </w:p>
        </w:tc>
        <w:tc>
          <w:tcPr>
            <w:tcW w:type="dxa" w:w="2412"/>
          </w:tcPr>
          <w:p>
            <w:r>
              <w:rPr>
                <w:b/>
                <w:sz w:val="17"/>
              </w:rPr>
            </w:r>
            <w:r>
              <w:rPr>
                <w:b/>
                <w:sz w:val="17"/>
              </w:rPr>
              <w:t>Deadline (PROPOSED)</w:t>
            </w:r>
          </w:p>
        </w:tc>
      </w:tr>
      <w:tr>
        <w:tc>
          <w:tcPr>
            <w:tcW w:type="dxa" w:w="2412"/>
          </w:tcPr>
          <w:p>
            <w:r>
              <w:rPr>
                <w:b w:val="0"/>
                <w:sz w:val="17"/>
              </w:rPr>
            </w:r>
            <w:r>
              <w:rPr>
                <w:b w:val="0"/>
                <w:sz w:val="17"/>
              </w:rPr>
              <w:t>ICO registration (Tier 1)</w:t>
            </w:r>
          </w:p>
        </w:tc>
        <w:tc>
          <w:tcPr>
            <w:tcW w:type="dxa" w:w="2412"/>
          </w:tcPr>
          <w:p>
            <w:r>
              <w:rPr>
                <w:b w:val="0"/>
                <w:sz w:val="17"/>
              </w:rPr>
            </w:r>
            <w:r>
              <w:rPr>
                <w:b w:val="0"/>
                <w:sz w:val="17"/>
              </w:rPr>
              <w:t>Incorporation + CRM live</w:t>
            </w:r>
          </w:p>
        </w:tc>
        <w:tc>
          <w:tcPr>
            <w:tcW w:type="dxa" w:w="2412"/>
          </w:tcPr>
          <w:p>
            <w:r>
              <w:rPr>
                <w:b w:val="0"/>
                <w:sz w:val="17"/>
              </w:rPr>
            </w:r>
            <w:r>
              <w:rPr>
                <w:b w:val="0"/>
                <w:sz w:val="17"/>
              </w:rPr>
              <w:t>Founder</w:t>
            </w:r>
          </w:p>
        </w:tc>
        <w:tc>
          <w:tcPr>
            <w:tcW w:type="dxa" w:w="2412"/>
          </w:tcPr>
          <w:p>
            <w:r>
              <w:rPr>
                <w:b w:val="0"/>
                <w:sz w:val="17"/>
              </w:rPr>
            </w:r>
            <w:r>
              <w:rPr>
                <w:b w:val="0"/>
                <w:sz w:val="17"/>
              </w:rPr>
              <w:t>Day 14</w:t>
            </w:r>
          </w:p>
        </w:tc>
      </w:tr>
      <w:tr>
        <w:tc>
          <w:tcPr>
            <w:tcW w:type="dxa" w:w="2412"/>
          </w:tcPr>
          <w:p>
            <w:r>
              <w:rPr>
                <w:b w:val="0"/>
                <w:sz w:val="17"/>
              </w:rPr>
            </w:r>
            <w:r>
              <w:rPr>
                <w:b w:val="0"/>
                <w:sz w:val="17"/>
              </w:rPr>
              <w:t>Privacy notice (website, CRM, newsletter)</w:t>
            </w:r>
          </w:p>
        </w:tc>
        <w:tc>
          <w:tcPr>
            <w:tcW w:type="dxa" w:w="2412"/>
          </w:tcPr>
          <w:p>
            <w:r>
              <w:rPr>
                <w:b w:val="0"/>
                <w:sz w:val="17"/>
              </w:rPr>
            </w:r>
            <w:r>
              <w:rPr>
                <w:b w:val="0"/>
                <w:sz w:val="17"/>
              </w:rPr>
              <w:t>Website live</w:t>
            </w:r>
          </w:p>
        </w:tc>
        <w:tc>
          <w:tcPr>
            <w:tcW w:type="dxa" w:w="2412"/>
          </w:tcPr>
          <w:p>
            <w:r>
              <w:rPr>
                <w:b w:val="0"/>
                <w:sz w:val="17"/>
              </w:rPr>
            </w:r>
            <w:r>
              <w:rPr>
                <w:b w:val="0"/>
                <w:sz w:val="17"/>
              </w:rPr>
              <w:t>Founder [SOLICITOR review]</w:t>
            </w:r>
          </w:p>
        </w:tc>
        <w:tc>
          <w:tcPr>
            <w:tcW w:type="dxa" w:w="2412"/>
          </w:tcPr>
          <w:p>
            <w:r>
              <w:rPr>
                <w:b w:val="0"/>
                <w:sz w:val="17"/>
              </w:rPr>
            </w:r>
            <w:r>
              <w:rPr>
                <w:b w:val="0"/>
                <w:sz w:val="17"/>
              </w:rPr>
              <w:t>Day 21</w:t>
            </w:r>
          </w:p>
        </w:tc>
      </w:tr>
      <w:tr>
        <w:tc>
          <w:tcPr>
            <w:tcW w:type="dxa" w:w="2412"/>
          </w:tcPr>
          <w:p>
            <w:r>
              <w:rPr>
                <w:b w:val="0"/>
                <w:sz w:val="17"/>
              </w:rPr>
            </w:r>
            <w:r>
              <w:rPr>
                <w:b w:val="0"/>
                <w:sz w:val="17"/>
              </w:rPr>
              <w:t>Record of processing activities (RoPA)</w:t>
            </w:r>
          </w:p>
        </w:tc>
        <w:tc>
          <w:tcPr>
            <w:tcW w:type="dxa" w:w="2412"/>
          </w:tcPr>
          <w:p>
            <w:r>
              <w:rPr>
                <w:b w:val="0"/>
                <w:sz w:val="17"/>
              </w:rPr>
            </w:r>
            <w:r>
              <w:rPr>
                <w:b w:val="0"/>
                <w:sz w:val="17"/>
              </w:rPr>
              <w:t>ICO registration</w:t>
            </w:r>
          </w:p>
        </w:tc>
        <w:tc>
          <w:tcPr>
            <w:tcW w:type="dxa" w:w="2412"/>
          </w:tcPr>
          <w:p>
            <w:r>
              <w:rPr>
                <w:b w:val="0"/>
                <w:sz w:val="17"/>
              </w:rPr>
            </w:r>
            <w:r>
              <w:rPr>
                <w:b w:val="0"/>
                <w:sz w:val="17"/>
              </w:rPr>
              <w:t>Founder</w:t>
            </w:r>
          </w:p>
        </w:tc>
        <w:tc>
          <w:tcPr>
            <w:tcW w:type="dxa" w:w="2412"/>
          </w:tcPr>
          <w:p>
            <w:r>
              <w:rPr>
                <w:b w:val="0"/>
                <w:sz w:val="17"/>
              </w:rPr>
            </w:r>
            <w:r>
              <w:rPr>
                <w:b w:val="0"/>
                <w:sz w:val="17"/>
              </w:rPr>
              <w:t>Day 30</w:t>
            </w:r>
          </w:p>
        </w:tc>
      </w:tr>
      <w:tr>
        <w:tc>
          <w:tcPr>
            <w:tcW w:type="dxa" w:w="2412"/>
          </w:tcPr>
          <w:p>
            <w:r>
              <w:rPr>
                <w:b w:val="0"/>
                <w:sz w:val="17"/>
              </w:rPr>
            </w:r>
            <w:r>
              <w:rPr>
                <w:b w:val="0"/>
                <w:sz w:val="17"/>
              </w:rPr>
              <w:t>Legitimate-interests assessment for B2B outreach</w:t>
            </w:r>
          </w:p>
        </w:tc>
        <w:tc>
          <w:tcPr>
            <w:tcW w:type="dxa" w:w="2412"/>
          </w:tcPr>
          <w:p>
            <w:r>
              <w:rPr>
                <w:b w:val="0"/>
                <w:sz w:val="17"/>
              </w:rPr>
            </w:r>
            <w:r>
              <w:rPr>
                <w:b w:val="0"/>
                <w:sz w:val="17"/>
              </w:rPr>
              <w:t>CRM live</w:t>
            </w:r>
          </w:p>
        </w:tc>
        <w:tc>
          <w:tcPr>
            <w:tcW w:type="dxa" w:w="2412"/>
          </w:tcPr>
          <w:p>
            <w:r>
              <w:rPr>
                <w:b w:val="0"/>
                <w:sz w:val="17"/>
              </w:rPr>
            </w:r>
            <w:r>
              <w:rPr>
                <w:b w:val="0"/>
                <w:sz w:val="17"/>
              </w:rPr>
              <w:t>Founder</w:t>
            </w:r>
          </w:p>
        </w:tc>
        <w:tc>
          <w:tcPr>
            <w:tcW w:type="dxa" w:w="2412"/>
          </w:tcPr>
          <w:p>
            <w:r>
              <w:rPr>
                <w:b w:val="0"/>
                <w:sz w:val="17"/>
              </w:rPr>
            </w:r>
            <w:r>
              <w:rPr>
                <w:b w:val="0"/>
                <w:sz w:val="17"/>
              </w:rPr>
              <w:t>Day 14</w:t>
            </w:r>
          </w:p>
        </w:tc>
      </w:tr>
      <w:tr>
        <w:tc>
          <w:tcPr>
            <w:tcW w:type="dxa" w:w="2412"/>
          </w:tcPr>
          <w:p>
            <w:r>
              <w:rPr>
                <w:b w:val="0"/>
                <w:sz w:val="17"/>
              </w:rPr>
            </w:r>
            <w:r>
              <w:rPr>
                <w:b w:val="0"/>
                <w:sz w:val="17"/>
              </w:rPr>
              <w:t>Data-retention schedule</w:t>
            </w:r>
          </w:p>
        </w:tc>
        <w:tc>
          <w:tcPr>
            <w:tcW w:type="dxa" w:w="2412"/>
          </w:tcPr>
          <w:p>
            <w:r>
              <w:rPr>
                <w:b w:val="0"/>
                <w:sz w:val="17"/>
              </w:rPr>
            </w:r>
            <w:r>
              <w:rPr>
                <w:b w:val="0"/>
                <w:sz w:val="17"/>
              </w:rPr>
              <w:t>RoPA</w:t>
            </w:r>
          </w:p>
        </w:tc>
        <w:tc>
          <w:tcPr>
            <w:tcW w:type="dxa" w:w="2412"/>
          </w:tcPr>
          <w:p>
            <w:r>
              <w:rPr>
                <w:b w:val="0"/>
                <w:sz w:val="17"/>
              </w:rPr>
            </w:r>
            <w:r>
              <w:rPr>
                <w:b w:val="0"/>
                <w:sz w:val="17"/>
              </w:rPr>
              <w:t>Founder</w:t>
            </w:r>
          </w:p>
        </w:tc>
        <w:tc>
          <w:tcPr>
            <w:tcW w:type="dxa" w:w="2412"/>
          </w:tcPr>
          <w:p>
            <w:r>
              <w:rPr>
                <w:b w:val="0"/>
                <w:sz w:val="17"/>
              </w:rPr>
            </w:r>
            <w:r>
              <w:rPr>
                <w:b w:val="0"/>
                <w:sz w:val="17"/>
              </w:rPr>
              <w:t>Day 30</w:t>
            </w:r>
          </w:p>
        </w:tc>
      </w:tr>
      <w:tr>
        <w:tc>
          <w:tcPr>
            <w:tcW w:type="dxa" w:w="2412"/>
          </w:tcPr>
          <w:p>
            <w:r>
              <w:rPr>
                <w:b w:val="0"/>
                <w:sz w:val="17"/>
              </w:rPr>
            </w:r>
            <w:r>
              <w:rPr>
                <w:b w:val="0"/>
                <w:sz w:val="17"/>
              </w:rPr>
              <w:t>Data-subject request procedure</w:t>
            </w:r>
          </w:p>
        </w:tc>
        <w:tc>
          <w:tcPr>
            <w:tcW w:type="dxa" w:w="2412"/>
          </w:tcPr>
          <w:p>
            <w:r>
              <w:rPr>
                <w:b w:val="0"/>
                <w:sz w:val="17"/>
              </w:rPr>
            </w:r>
            <w:r>
              <w:rPr>
                <w:b w:val="0"/>
                <w:sz w:val="17"/>
              </w:rPr>
              <w:t>RoPA</w:t>
            </w:r>
          </w:p>
        </w:tc>
        <w:tc>
          <w:tcPr>
            <w:tcW w:type="dxa" w:w="2412"/>
          </w:tcPr>
          <w:p>
            <w:r>
              <w:rPr>
                <w:b w:val="0"/>
                <w:sz w:val="17"/>
              </w:rPr>
            </w:r>
            <w:r>
              <w:rPr>
                <w:b w:val="0"/>
                <w:sz w:val="17"/>
              </w:rPr>
              <w:t>Founder</w:t>
            </w:r>
          </w:p>
        </w:tc>
        <w:tc>
          <w:tcPr>
            <w:tcW w:type="dxa" w:w="2412"/>
          </w:tcPr>
          <w:p>
            <w:r>
              <w:rPr>
                <w:b w:val="0"/>
                <w:sz w:val="17"/>
              </w:rPr>
            </w:r>
            <w:r>
              <w:rPr>
                <w:b w:val="0"/>
                <w:sz w:val="17"/>
              </w:rPr>
              <w:t>Day 30</w:t>
            </w:r>
          </w:p>
        </w:tc>
      </w:tr>
      <w:tr>
        <w:tc>
          <w:tcPr>
            <w:tcW w:type="dxa" w:w="2412"/>
          </w:tcPr>
          <w:p>
            <w:r>
              <w:rPr>
                <w:b w:val="0"/>
                <w:sz w:val="17"/>
              </w:rPr>
            </w:r>
            <w:r>
              <w:rPr>
                <w:b w:val="0"/>
                <w:sz w:val="17"/>
              </w:rPr>
              <w:t>Breach-response procedure (72-hour ICO notification rule)</w:t>
            </w:r>
          </w:p>
        </w:tc>
        <w:tc>
          <w:tcPr>
            <w:tcW w:type="dxa" w:w="2412"/>
          </w:tcPr>
          <w:p>
            <w:r>
              <w:rPr>
                <w:b w:val="0"/>
                <w:sz w:val="17"/>
              </w:rPr>
            </w:r>
            <w:r>
              <w:rPr>
                <w:b w:val="0"/>
                <w:sz w:val="17"/>
              </w:rPr>
              <w:t>RoPA</w:t>
            </w:r>
          </w:p>
        </w:tc>
        <w:tc>
          <w:tcPr>
            <w:tcW w:type="dxa" w:w="2412"/>
          </w:tcPr>
          <w:p>
            <w:r>
              <w:rPr>
                <w:b w:val="0"/>
                <w:sz w:val="17"/>
              </w:rPr>
            </w:r>
            <w:r>
              <w:rPr>
                <w:b w:val="0"/>
                <w:sz w:val="17"/>
              </w:rPr>
              <w:t>Founder</w:t>
            </w:r>
          </w:p>
        </w:tc>
        <w:tc>
          <w:tcPr>
            <w:tcW w:type="dxa" w:w="2412"/>
          </w:tcPr>
          <w:p>
            <w:r>
              <w:rPr>
                <w:b w:val="0"/>
                <w:sz w:val="17"/>
              </w:rPr>
            </w:r>
            <w:r>
              <w:rPr>
                <w:b w:val="0"/>
                <w:sz w:val="17"/>
              </w:rPr>
              <w:t>Day 30</w:t>
            </w:r>
          </w:p>
        </w:tc>
      </w:tr>
      <w:tr>
        <w:tc>
          <w:tcPr>
            <w:tcW w:type="dxa" w:w="2412"/>
          </w:tcPr>
          <w:p>
            <w:r>
              <w:rPr>
                <w:b w:val="0"/>
                <w:sz w:val="17"/>
              </w:rPr>
            </w:r>
            <w:r>
              <w:rPr>
                <w:b/>
                <w:sz w:val="17"/>
              </w:rPr>
              <w:t>DPIA for MaternaLink</w:t>
            </w:r>
            <w:r>
              <w:rPr>
                <w:b w:val="0"/>
                <w:sz w:val="17"/>
              </w:rPr>
              <w:t xml:space="preserve"> (mandatory: large-scale special-category data, vulnerable individuals, new technology)</w:t>
            </w:r>
          </w:p>
        </w:tc>
        <w:tc>
          <w:tcPr>
            <w:tcW w:type="dxa" w:w="2412"/>
          </w:tcPr>
          <w:p>
            <w:r>
              <w:rPr>
                <w:b w:val="0"/>
                <w:sz w:val="17"/>
              </w:rPr>
            </w:r>
            <w:r>
              <w:rPr>
                <w:b w:val="0"/>
                <w:sz w:val="17"/>
              </w:rPr>
              <w:t>Before design freeze; updated before each deployment</w:t>
            </w:r>
          </w:p>
        </w:tc>
        <w:tc>
          <w:tcPr>
            <w:tcW w:type="dxa" w:w="2412"/>
          </w:tcPr>
          <w:p>
            <w:r>
              <w:rPr>
                <w:b w:val="0"/>
                <w:sz w:val="17"/>
              </w:rPr>
            </w:r>
            <w:r>
              <w:rPr>
                <w:b w:val="0"/>
                <w:sz w:val="17"/>
              </w:rPr>
              <w:t>Product lead + DPO/adviser</w:t>
            </w:r>
          </w:p>
        </w:tc>
        <w:tc>
          <w:tcPr>
            <w:tcW w:type="dxa" w:w="2412"/>
          </w:tcPr>
          <w:p>
            <w:r>
              <w:rPr>
                <w:b w:val="0"/>
                <w:sz w:val="17"/>
              </w:rPr>
            </w:r>
            <w:r>
              <w:rPr>
                <w:b w:val="0"/>
                <w:sz w:val="17"/>
              </w:rPr>
              <w:t>Day 60 (v0.1), Day 90 (v1)</w:t>
            </w:r>
          </w:p>
        </w:tc>
      </w:tr>
      <w:tr>
        <w:tc>
          <w:tcPr>
            <w:tcW w:type="dxa" w:w="2412"/>
          </w:tcPr>
          <w:p>
            <w:r>
              <w:rPr>
                <w:b w:val="0"/>
                <w:sz w:val="17"/>
              </w:rPr>
            </w:r>
            <w:r>
              <w:rPr>
                <w:b w:val="0"/>
                <w:sz w:val="17"/>
              </w:rPr>
              <w:t>Data Protection Officer</w:t>
            </w:r>
          </w:p>
        </w:tc>
        <w:tc>
          <w:tcPr>
            <w:tcW w:type="dxa" w:w="2412"/>
          </w:tcPr>
          <w:p>
            <w:r>
              <w:rPr>
                <w:b w:val="0"/>
                <w:sz w:val="17"/>
              </w:rPr>
            </w:r>
            <w:r>
              <w:rPr>
                <w:b w:val="0"/>
                <w:sz w:val="17"/>
              </w:rPr>
              <w:t>Mandatory where core activities involve large-scale processing of special-category data — likely once MaternaLink is live; appoint an outsourced DPO (ESTIMATE £200–£500/month) at first deployment; until then a named "data-protection lead" (founder)</w:t>
            </w:r>
          </w:p>
        </w:tc>
        <w:tc>
          <w:tcPr>
            <w:tcW w:type="dxa" w:w="2412"/>
          </w:tcPr>
          <w:p>
            <w:r>
              <w:rPr>
                <w:b w:val="0"/>
                <w:sz w:val="17"/>
              </w:rPr>
            </w:r>
            <w:r>
              <w:rPr>
                <w:b w:val="0"/>
                <w:sz w:val="17"/>
              </w:rPr>
              <w:t>Founder</w:t>
            </w:r>
          </w:p>
        </w:tc>
        <w:tc>
          <w:tcPr>
            <w:tcW w:type="dxa" w:w="2412"/>
          </w:tcPr>
          <w:p>
            <w:r>
              <w:rPr>
                <w:b w:val="0"/>
                <w:sz w:val="17"/>
              </w:rPr>
            </w:r>
            <w:r>
              <w:rPr>
                <w:b w:val="0"/>
                <w:sz w:val="17"/>
              </w:rPr>
              <w:t>First deployment</w:t>
            </w:r>
          </w:p>
        </w:tc>
      </w:tr>
      <w:tr>
        <w:tc>
          <w:tcPr>
            <w:tcW w:type="dxa" w:w="2412"/>
          </w:tcPr>
          <w:p>
            <w:r>
              <w:rPr>
                <w:b w:val="0"/>
                <w:sz w:val="17"/>
              </w:rPr>
            </w:r>
            <w:r>
              <w:rPr>
                <w:b w:val="0"/>
                <w:sz w:val="17"/>
              </w:rPr>
              <w:t>Processor contracts (Art. 28) with hosting, SMS/WhatsApp gateway, email, CRM, analytics</w:t>
            </w:r>
          </w:p>
        </w:tc>
        <w:tc>
          <w:tcPr>
            <w:tcW w:type="dxa" w:w="2412"/>
          </w:tcPr>
          <w:p>
            <w:r>
              <w:rPr>
                <w:b w:val="0"/>
                <w:sz w:val="17"/>
              </w:rPr>
            </w:r>
            <w:r>
              <w:rPr>
                <w:b w:val="0"/>
                <w:sz w:val="17"/>
              </w:rPr>
              <w:t>Any vendor touching personal data</w:t>
            </w:r>
          </w:p>
        </w:tc>
        <w:tc>
          <w:tcPr>
            <w:tcW w:type="dxa" w:w="2412"/>
          </w:tcPr>
          <w:p>
            <w:r>
              <w:rPr>
                <w:b w:val="0"/>
                <w:sz w:val="17"/>
              </w:rPr>
            </w:r>
            <w:r>
              <w:rPr>
                <w:b w:val="0"/>
                <w:sz w:val="17"/>
              </w:rPr>
              <w:t>Founder</w:t>
            </w:r>
          </w:p>
        </w:tc>
        <w:tc>
          <w:tcPr>
            <w:tcW w:type="dxa" w:w="2412"/>
          </w:tcPr>
          <w:p>
            <w:r>
              <w:rPr>
                <w:b w:val="0"/>
                <w:sz w:val="17"/>
              </w:rPr>
            </w:r>
            <w:r>
              <w:rPr>
                <w:b w:val="0"/>
                <w:sz w:val="17"/>
              </w:rPr>
              <w:t>Before use with personal data</w:t>
            </w:r>
          </w:p>
        </w:tc>
      </w:tr>
      <w:tr>
        <w:tc>
          <w:tcPr>
            <w:tcW w:type="dxa" w:w="2412"/>
          </w:tcPr>
          <w:p>
            <w:r>
              <w:rPr>
                <w:b w:val="0"/>
                <w:sz w:val="17"/>
              </w:rPr>
            </w:r>
            <w:r>
              <w:rPr>
                <w:b w:val="0"/>
                <w:sz w:val="17"/>
              </w:rPr>
              <w:t>International transfers: UK → Nigeria (no UK adequacy decision for Nigeria)</w:t>
            </w:r>
          </w:p>
        </w:tc>
        <w:tc>
          <w:tcPr>
            <w:tcW w:type="dxa" w:w="2412"/>
          </w:tcPr>
          <w:p>
            <w:r>
              <w:rPr>
                <w:b w:val="0"/>
                <w:sz w:val="17"/>
              </w:rPr>
            </w:r>
            <w:r>
              <w:rPr>
                <w:b w:val="0"/>
                <w:sz w:val="17"/>
              </w:rPr>
              <w:t>Any Nigeria deployment or in-country team access</w:t>
            </w:r>
          </w:p>
        </w:tc>
        <w:tc>
          <w:tcPr>
            <w:tcW w:type="dxa" w:w="2412"/>
          </w:tcPr>
          <w:p>
            <w:r>
              <w:rPr>
                <w:b w:val="0"/>
                <w:sz w:val="17"/>
              </w:rPr>
            </w:r>
            <w:r>
              <w:rPr>
                <w:b w:val="0"/>
                <w:sz w:val="17"/>
              </w:rPr>
              <w:t>Founder [SOLICITOR]</w:t>
            </w:r>
          </w:p>
        </w:tc>
        <w:tc>
          <w:tcPr>
            <w:tcW w:type="dxa" w:w="2412"/>
          </w:tcPr>
          <w:p>
            <w:r>
              <w:rPr>
                <w:b w:val="0"/>
                <w:sz w:val="17"/>
              </w:rPr>
            </w:r>
            <w:r>
              <w:rPr>
                <w:b w:val="0"/>
                <w:sz w:val="17"/>
              </w:rPr>
              <w:t>Before deployment: International Data Transfer Agreement (IDTA) or UK Addendum + transfer risk assessment; consider in-country hosting so that data does not leave Nigeria at all</w:t>
            </w:r>
          </w:p>
        </w:tc>
      </w:tr>
      <w:tr>
        <w:tc>
          <w:tcPr>
            <w:tcW w:type="dxa" w:w="2412"/>
          </w:tcPr>
          <w:p>
            <w:r>
              <w:rPr>
                <w:b w:val="0"/>
                <w:sz w:val="17"/>
              </w:rPr>
            </w:r>
            <w:r>
              <w:rPr>
                <w:b w:val="0"/>
                <w:sz w:val="17"/>
              </w:rPr>
              <w:t>UK → EU / EU → UK</w:t>
            </w:r>
          </w:p>
        </w:tc>
        <w:tc>
          <w:tcPr>
            <w:tcW w:type="dxa" w:w="2412"/>
          </w:tcPr>
          <w:p>
            <w:r>
              <w:rPr>
                <w:b w:val="0"/>
                <w:sz w:val="17"/>
              </w:rPr>
            </w:r>
            <w:r>
              <w:rPr>
                <w:b w:val="0"/>
                <w:sz w:val="17"/>
              </w:rPr>
              <w:t>EU clients or EU hosting</w:t>
            </w:r>
          </w:p>
        </w:tc>
        <w:tc>
          <w:tcPr>
            <w:tcW w:type="dxa" w:w="2412"/>
          </w:tcPr>
          <w:p>
            <w:r>
              <w:rPr>
                <w:b w:val="0"/>
                <w:sz w:val="17"/>
              </w:rPr>
            </w:r>
            <w:r>
              <w:rPr>
                <w:b w:val="0"/>
                <w:sz w:val="17"/>
              </w:rPr>
              <w:t>Founder</w:t>
            </w:r>
          </w:p>
        </w:tc>
        <w:tc>
          <w:tcPr>
            <w:tcW w:type="dxa" w:w="2412"/>
          </w:tcPr>
          <w:p>
            <w:r>
              <w:rPr>
                <w:b w:val="0"/>
                <w:sz w:val="17"/>
              </w:rPr>
            </w:r>
            <w:r>
              <w:rPr>
                <w:b w:val="0"/>
                <w:sz w:val="17"/>
              </w:rPr>
              <w:t>EU adequacy for the UK exists (TO VALIDATE renewal status); standard clauses where required</w:t>
            </w:r>
          </w:p>
        </w:tc>
      </w:tr>
      <w:tr>
        <w:tc>
          <w:tcPr>
            <w:tcW w:type="dxa" w:w="2412"/>
          </w:tcPr>
          <w:p>
            <w:r>
              <w:rPr>
                <w:b w:val="0"/>
                <w:sz w:val="17"/>
              </w:rPr>
            </w:r>
            <w:r>
              <w:rPr>
                <w:b w:val="0"/>
                <w:sz w:val="17"/>
              </w:rPr>
              <w:t>Cookies / PECR</w:t>
            </w:r>
          </w:p>
        </w:tc>
        <w:tc>
          <w:tcPr>
            <w:tcW w:type="dxa" w:w="2412"/>
          </w:tcPr>
          <w:p>
            <w:r>
              <w:rPr>
                <w:b w:val="0"/>
                <w:sz w:val="17"/>
              </w:rPr>
            </w:r>
            <w:r>
              <w:rPr>
                <w:b w:val="0"/>
                <w:sz w:val="17"/>
              </w:rPr>
              <w:t>Website analytics</w:t>
            </w:r>
          </w:p>
        </w:tc>
        <w:tc>
          <w:tcPr>
            <w:tcW w:type="dxa" w:w="2412"/>
          </w:tcPr>
          <w:p>
            <w:r>
              <w:rPr>
                <w:b w:val="0"/>
                <w:sz w:val="17"/>
              </w:rPr>
            </w:r>
            <w:r>
              <w:rPr>
                <w:b w:val="0"/>
                <w:sz w:val="17"/>
              </w:rPr>
              <w:t>Founder</w:t>
            </w:r>
          </w:p>
        </w:tc>
        <w:tc>
          <w:tcPr>
            <w:tcW w:type="dxa" w:w="2412"/>
          </w:tcPr>
          <w:p>
            <w:r>
              <w:rPr>
                <w:b w:val="0"/>
                <w:sz w:val="17"/>
              </w:rPr>
            </w:r>
            <w:r>
              <w:rPr>
                <w:b w:val="0"/>
                <w:sz w:val="17"/>
              </w:rPr>
              <w:t>Consent banner only if non-essential cookies are used; recommendation: privacy-preserving analytics with no cookies (see §10)</w:t>
            </w:r>
          </w:p>
        </w:tc>
      </w:tr>
      <w:tr>
        <w:tc>
          <w:tcPr>
            <w:tcW w:type="dxa" w:w="2412"/>
          </w:tcPr>
          <w:p>
            <w:r>
              <w:rPr>
                <w:b w:val="0"/>
                <w:sz w:val="17"/>
              </w:rPr>
            </w:r>
            <w:r>
              <w:rPr>
                <w:b w:val="0"/>
                <w:sz w:val="17"/>
              </w:rPr>
              <w:t>Training</w:t>
            </w:r>
          </w:p>
        </w:tc>
        <w:tc>
          <w:tcPr>
            <w:tcW w:type="dxa" w:w="2412"/>
          </w:tcPr>
          <w:p>
            <w:r>
              <w:rPr>
                <w:b w:val="0"/>
                <w:sz w:val="17"/>
              </w:rPr>
            </w:r>
            <w:r>
              <w:rPr>
                <w:b w:val="0"/>
                <w:sz w:val="17"/>
              </w:rPr>
              <w:t>Any hire/contractor</w:t>
            </w:r>
          </w:p>
        </w:tc>
        <w:tc>
          <w:tcPr>
            <w:tcW w:type="dxa" w:w="2412"/>
          </w:tcPr>
          <w:p>
            <w:r>
              <w:rPr>
                <w:b w:val="0"/>
                <w:sz w:val="17"/>
              </w:rPr>
            </w:r>
            <w:r>
              <w:rPr>
                <w:b w:val="0"/>
                <w:sz w:val="17"/>
              </w:rPr>
              <w:t>Founder</w:t>
            </w:r>
          </w:p>
        </w:tc>
        <w:tc>
          <w:tcPr>
            <w:tcW w:type="dxa" w:w="2412"/>
          </w:tcPr>
          <w:p>
            <w:r>
              <w:rPr>
                <w:b w:val="0"/>
                <w:sz w:val="17"/>
              </w:rPr>
            </w:r>
            <w:r>
              <w:rPr>
                <w:b w:val="0"/>
                <w:sz w:val="17"/>
              </w:rPr>
              <w:t>On joining; annual</w:t>
            </w:r>
          </w:p>
        </w:tc>
      </w:tr>
    </w:tbl>
    <w:p/>
    <w:p>
      <w:pPr>
        <w:pStyle w:val="Heading3"/>
      </w:pPr>
      <w:r>
        <w:t>2.4 NHS-specific data rules (apply to any MaternaLink UK deployment)</w:t>
      </w:r>
    </w:p>
    <w:p>
      <w:pPr>
        <w:pStyle w:val="ListBullet"/>
      </w:pPr>
      <w:r>
        <w:t>Caldicott Principles; common-law duty of confidentiality; the deploying organisation's Caldicott Guardian sign-off.</w:t>
      </w:r>
    </w:p>
    <w:p>
      <w:pPr>
        <w:pStyle w:val="ListBullet"/>
      </w:pPr>
      <w:r>
        <w:t>National Data Opt-Out applies to uses beyond individual care (e.g. research/evaluation) — TO VALIDATE applicability.</w:t>
      </w:r>
    </w:p>
    <w:p>
      <w:pPr>
        <w:pStyle w:val="ListBullet"/>
      </w:pPr>
      <w:r>
        <w:t>DSPT annual submission ("Standards Met") for suppliers processing NHS patient data (see §3).</w:t>
      </w:r>
    </w:p>
    <w:p>
      <w:pPr>
        <w:pStyle w:val="ListBullet"/>
      </w:pPr>
      <w:r>
        <w:t>Section 251 / Confidentiality Advisory Group approval if identifiable data is used for research without consent — avoid by design.</w:t>
      </w:r>
    </w:p>
    <w:p>
      <w:pPr>
        <w:pStyle w:val="Heading2"/>
      </w:pPr>
      <w:r>
        <w:t>3. Healthcare regulation applicable in the UK</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Regime</w:t>
            </w:r>
          </w:p>
        </w:tc>
        <w:tc>
          <w:tcPr>
            <w:tcW w:type="dxa" w:w="3216"/>
          </w:tcPr>
          <w:p>
            <w:r>
              <w:rPr>
                <w:b/>
                <w:sz w:val="17"/>
              </w:rPr>
            </w:r>
            <w:r>
              <w:rPr>
                <w:b/>
                <w:sz w:val="17"/>
              </w:rPr>
              <w:t>Does it apply to Vytalix?</w:t>
            </w:r>
          </w:p>
        </w:tc>
        <w:tc>
          <w:tcPr>
            <w:tcW w:type="dxa" w:w="3216"/>
          </w:tcPr>
          <w:p>
            <w:r>
              <w:rPr>
                <w:b/>
                <w:sz w:val="17"/>
              </w:rPr>
            </w:r>
            <w:r>
              <w:rPr>
                <w:b/>
                <w:sz w:val="17"/>
              </w:rPr>
              <w:t>Position</w:t>
            </w:r>
          </w:p>
        </w:tc>
      </w:tr>
      <w:tr>
        <w:tc>
          <w:tcPr>
            <w:tcW w:type="dxa" w:w="3216"/>
          </w:tcPr>
          <w:p>
            <w:r>
              <w:rPr>
                <w:b w:val="0"/>
                <w:sz w:val="17"/>
              </w:rPr>
            </w:r>
            <w:r>
              <w:rPr>
                <w:b/>
                <w:sz w:val="17"/>
              </w:rPr>
              <w:t>CQC registration</w:t>
            </w:r>
            <w:r>
              <w:rPr>
                <w:b w:val="0"/>
                <w:sz w:val="17"/>
              </w:rPr>
              <w:t xml:space="preserve"> (Health and Social Care Act 2008)</w:t>
            </w:r>
          </w:p>
        </w:tc>
        <w:tc>
          <w:tcPr>
            <w:tcW w:type="dxa" w:w="3216"/>
          </w:tcPr>
          <w:p>
            <w:r>
              <w:rPr>
                <w:b w:val="0"/>
                <w:sz w:val="17"/>
              </w:rPr>
            </w:r>
            <w:r>
              <w:rPr>
                <w:b w:val="0"/>
                <w:sz w:val="17"/>
              </w:rPr>
              <w:t>Only if Vytalix itself carries on a regulated activity (e.g. providing treatment, triage by clinicians it employs). Advisory/consulting and software supply are not regulated activities.</w:t>
            </w:r>
          </w:p>
        </w:tc>
        <w:tc>
          <w:tcPr>
            <w:tcW w:type="dxa" w:w="3216"/>
          </w:tcPr>
          <w:p>
            <w:r>
              <w:rPr>
                <w:b w:val="0"/>
                <w:sz w:val="17"/>
              </w:rPr>
            </w:r>
            <w:r>
              <w:rPr>
                <w:b w:val="0"/>
                <w:sz w:val="17"/>
              </w:rPr>
              <w:t>v1 design keeps clinical decisions and communications ownership with the deploying provider (who is CQC-registered). If Vytalix ever employs clinicians who give advice to women, re-assess. [REG-CONSULTANT] TO VALIDATE at v2</w:t>
            </w:r>
          </w:p>
        </w:tc>
      </w:tr>
      <w:tr>
        <w:tc>
          <w:tcPr>
            <w:tcW w:type="dxa" w:w="3216"/>
          </w:tcPr>
          <w:p>
            <w:r>
              <w:rPr>
                <w:b w:val="0"/>
                <w:sz w:val="17"/>
              </w:rPr>
            </w:r>
            <w:r>
              <w:rPr>
                <w:b/>
                <w:sz w:val="17"/>
              </w:rPr>
              <w:t>NHS DTAC</w:t>
            </w:r>
          </w:p>
        </w:tc>
        <w:tc>
          <w:tcPr>
            <w:tcW w:type="dxa" w:w="3216"/>
          </w:tcPr>
          <w:p>
            <w:r>
              <w:rPr>
                <w:b w:val="0"/>
                <w:sz w:val="17"/>
              </w:rPr>
            </w:r>
            <w:r>
              <w:rPr>
                <w:b w:val="0"/>
                <w:sz w:val="17"/>
              </w:rPr>
              <w:t>Applies to any digital tool bought by NHS organisations</w:t>
            </w:r>
          </w:p>
        </w:tc>
        <w:tc>
          <w:tcPr>
            <w:tcW w:type="dxa" w:w="3216"/>
          </w:tcPr>
          <w:p>
            <w:r>
              <w:rPr>
                <w:b w:val="0"/>
                <w:sz w:val="17"/>
              </w:rPr>
            </w:r>
            <w:r>
              <w:rPr>
                <w:b w:val="0"/>
                <w:sz w:val="17"/>
              </w:rPr>
              <w:t>Build the DTAC evidence pack in parallel with the MVP (see product strategy §21.3). Not a certification; assessed per buyer</w:t>
            </w:r>
          </w:p>
        </w:tc>
      </w:tr>
      <w:tr>
        <w:tc>
          <w:tcPr>
            <w:tcW w:type="dxa" w:w="3216"/>
          </w:tcPr>
          <w:p>
            <w:r>
              <w:rPr>
                <w:b w:val="0"/>
                <w:sz w:val="17"/>
              </w:rPr>
            </w:r>
            <w:r>
              <w:rPr>
                <w:b/>
                <w:sz w:val="17"/>
              </w:rPr>
              <w:t>DCB0129</w:t>
            </w:r>
            <w:r>
              <w:rPr>
                <w:b w:val="0"/>
                <w:sz w:val="17"/>
              </w:rPr>
              <w:t xml:space="preserve"> (manufacturer clinical risk management)</w:t>
            </w:r>
          </w:p>
        </w:tc>
        <w:tc>
          <w:tcPr>
            <w:tcW w:type="dxa" w:w="3216"/>
          </w:tcPr>
          <w:p>
            <w:r>
              <w:rPr>
                <w:b w:val="0"/>
                <w:sz w:val="17"/>
              </w:rPr>
            </w:r>
            <w:r>
              <w:rPr>
                <w:b w:val="0"/>
                <w:sz w:val="17"/>
              </w:rPr>
              <w:t>Applies to Vytalix as the manufacturer of MaternaLink</w:t>
            </w:r>
          </w:p>
        </w:tc>
        <w:tc>
          <w:tcPr>
            <w:tcW w:type="dxa" w:w="3216"/>
          </w:tcPr>
          <w:p>
            <w:r>
              <w:rPr>
                <w:b w:val="0"/>
                <w:sz w:val="17"/>
              </w:rPr>
            </w:r>
            <w:r>
              <w:rPr>
                <w:b w:val="0"/>
                <w:sz w:val="17"/>
              </w:rPr>
              <w:t>Appoint a Clinical Safety Officer (registered clinician with training; contract ESTIMATE £300–£600/day, 2–4 days/month during build), open a hazard log, produce a clinical safety case report before any deployment</w:t>
            </w:r>
          </w:p>
        </w:tc>
      </w:tr>
      <w:tr>
        <w:tc>
          <w:tcPr>
            <w:tcW w:type="dxa" w:w="3216"/>
          </w:tcPr>
          <w:p>
            <w:r>
              <w:rPr>
                <w:b w:val="0"/>
                <w:sz w:val="17"/>
              </w:rPr>
            </w:r>
            <w:r>
              <w:rPr>
                <w:b/>
                <w:sz w:val="17"/>
              </w:rPr>
              <w:t>DCB0160</w:t>
            </w:r>
            <w:r>
              <w:rPr>
                <w:b w:val="0"/>
                <w:sz w:val="17"/>
              </w:rPr>
              <w:t xml:space="preserve"> (deploying organisation)</w:t>
            </w:r>
          </w:p>
        </w:tc>
        <w:tc>
          <w:tcPr>
            <w:tcW w:type="dxa" w:w="3216"/>
          </w:tcPr>
          <w:p>
            <w:r>
              <w:rPr>
                <w:b w:val="0"/>
                <w:sz w:val="17"/>
              </w:rPr>
            </w:r>
            <w:r>
              <w:rPr>
                <w:b w:val="0"/>
                <w:sz w:val="17"/>
              </w:rPr>
              <w:t>Applies to the NHS trust deploying; Vytalix supports</w:t>
            </w:r>
          </w:p>
        </w:tc>
        <w:tc>
          <w:tcPr>
            <w:tcW w:type="dxa" w:w="3216"/>
          </w:tcPr>
          <w:p>
            <w:r>
              <w:rPr>
                <w:b w:val="0"/>
                <w:sz w:val="17"/>
              </w:rPr>
            </w:r>
            <w:r>
              <w:rPr>
                <w:b w:val="0"/>
                <w:sz w:val="17"/>
              </w:rPr>
              <w:t>Provide DCB0129 outputs to the trust's CSO</w:t>
            </w:r>
          </w:p>
        </w:tc>
      </w:tr>
      <w:tr>
        <w:tc>
          <w:tcPr>
            <w:tcW w:type="dxa" w:w="3216"/>
          </w:tcPr>
          <w:p>
            <w:r>
              <w:rPr>
                <w:b w:val="0"/>
                <w:sz w:val="17"/>
              </w:rPr>
            </w:r>
            <w:r>
              <w:rPr>
                <w:b/>
                <w:sz w:val="17"/>
              </w:rPr>
              <w:t>DSPT</w:t>
            </w:r>
          </w:p>
        </w:tc>
        <w:tc>
          <w:tcPr>
            <w:tcW w:type="dxa" w:w="3216"/>
          </w:tcPr>
          <w:p>
            <w:r>
              <w:rPr>
                <w:b w:val="0"/>
                <w:sz w:val="17"/>
              </w:rPr>
            </w:r>
            <w:r>
              <w:rPr>
                <w:b w:val="0"/>
                <w:sz w:val="17"/>
              </w:rPr>
              <w:t>Suppliers with access to NHS patient data</w:t>
            </w:r>
          </w:p>
        </w:tc>
        <w:tc>
          <w:tcPr>
            <w:tcW w:type="dxa" w:w="3216"/>
          </w:tcPr>
          <w:p>
            <w:r>
              <w:rPr>
                <w:b w:val="0"/>
                <w:sz w:val="17"/>
              </w:rPr>
            </w:r>
            <w:r>
              <w:rPr>
                <w:b w:val="0"/>
                <w:sz w:val="17"/>
              </w:rPr>
              <w:t>Register and submit before first deployment; target "Standards Met"</w:t>
            </w:r>
          </w:p>
        </w:tc>
      </w:tr>
      <w:tr>
        <w:tc>
          <w:tcPr>
            <w:tcW w:type="dxa" w:w="3216"/>
          </w:tcPr>
          <w:p>
            <w:r>
              <w:rPr>
                <w:b w:val="0"/>
                <w:sz w:val="17"/>
              </w:rPr>
            </w:r>
            <w:r>
              <w:rPr>
                <w:b/>
                <w:sz w:val="17"/>
              </w:rPr>
              <w:t>NICE Evidence Standards Framework</w:t>
            </w:r>
          </w:p>
        </w:tc>
        <w:tc>
          <w:tcPr>
            <w:tcW w:type="dxa" w:w="3216"/>
          </w:tcPr>
          <w:p>
            <w:r>
              <w:rPr>
                <w:b w:val="0"/>
                <w:sz w:val="17"/>
              </w:rPr>
            </w:r>
            <w:r>
              <w:rPr>
                <w:b w:val="0"/>
                <w:sz w:val="17"/>
              </w:rPr>
              <w:t>Not law; buyers use it</w:t>
            </w:r>
          </w:p>
        </w:tc>
        <w:tc>
          <w:tcPr>
            <w:tcW w:type="dxa" w:w="3216"/>
          </w:tcPr>
          <w:p>
            <w:r>
              <w:rPr>
                <w:b w:val="0"/>
                <w:sz w:val="17"/>
              </w:rPr>
            </w:r>
            <w:r>
              <w:rPr>
                <w:b w:val="0"/>
                <w:sz w:val="17"/>
              </w:rPr>
              <w:t>v1 → Tier B evidence expectations (TO VALIDATE mapping)</w:t>
            </w:r>
          </w:p>
        </w:tc>
      </w:tr>
      <w:tr>
        <w:tc>
          <w:tcPr>
            <w:tcW w:type="dxa" w:w="3216"/>
          </w:tcPr>
          <w:p>
            <w:r>
              <w:rPr>
                <w:b w:val="0"/>
                <w:sz w:val="17"/>
              </w:rPr>
            </w:r>
            <w:r>
              <w:rPr>
                <w:b/>
                <w:sz w:val="17"/>
              </w:rPr>
              <w:t>Procurement</w:t>
            </w:r>
            <w:r>
              <w:rPr>
                <w:b w:val="0"/>
                <w:sz w:val="17"/>
              </w:rPr>
              <w:t xml:space="preserve"> (Procurement Act 2023 regime; Provider Selection Regime for clinical services)</w:t>
            </w:r>
          </w:p>
        </w:tc>
        <w:tc>
          <w:tcPr>
            <w:tcW w:type="dxa" w:w="3216"/>
          </w:tcPr>
          <w:p>
            <w:r>
              <w:rPr>
                <w:b w:val="0"/>
                <w:sz w:val="17"/>
              </w:rPr>
            </w:r>
            <w:r>
              <w:rPr>
                <w:b w:val="0"/>
                <w:sz w:val="17"/>
              </w:rPr>
              <w:t>Applies to buyers</w:t>
            </w:r>
          </w:p>
        </w:tc>
        <w:tc>
          <w:tcPr>
            <w:tcW w:type="dxa" w:w="3216"/>
          </w:tcPr>
          <w:p>
            <w:r>
              <w:rPr>
                <w:b w:val="0"/>
                <w:sz w:val="17"/>
              </w:rPr>
            </w:r>
            <w:r>
              <w:rPr>
                <w:b w:val="0"/>
                <w:sz w:val="17"/>
              </w:rPr>
              <w:t>Understand direct-award thresholds; G-Cloud listing TO VALIDATE (see business model §2 #6)</w:t>
            </w:r>
          </w:p>
        </w:tc>
      </w:tr>
      <w:tr>
        <w:tc>
          <w:tcPr>
            <w:tcW w:type="dxa" w:w="3216"/>
          </w:tcPr>
          <w:p>
            <w:r>
              <w:rPr>
                <w:b w:val="0"/>
                <w:sz w:val="17"/>
              </w:rPr>
            </w:r>
            <w:r>
              <w:rPr>
                <w:b/>
                <w:sz w:val="17"/>
              </w:rPr>
              <w:t>Consumer law</w:t>
            </w:r>
            <w:r>
              <w:rPr>
                <w:b w:val="0"/>
                <w:sz w:val="17"/>
              </w:rPr>
              <w:t xml:space="preserve"> (Consumer Rights Act 2015; Digital Markets, Competition and Consumers Act 2024 consumer provisions)</w:t>
            </w:r>
          </w:p>
        </w:tc>
        <w:tc>
          <w:tcPr>
            <w:tcW w:type="dxa" w:w="3216"/>
          </w:tcPr>
          <w:p>
            <w:r>
              <w:rPr>
                <w:b w:val="0"/>
                <w:sz w:val="17"/>
              </w:rPr>
            </w:r>
            <w:r>
              <w:rPr>
                <w:b w:val="0"/>
                <w:sz w:val="17"/>
              </w:rPr>
              <w:t>E-Learning B2C sales</w:t>
            </w:r>
          </w:p>
        </w:tc>
        <w:tc>
          <w:tcPr>
            <w:tcW w:type="dxa" w:w="3216"/>
          </w:tcPr>
          <w:p>
            <w:r>
              <w:rPr>
                <w:b w:val="0"/>
                <w:sz w:val="17"/>
              </w:rPr>
            </w:r>
            <w:r>
              <w:rPr>
                <w:b w:val="0"/>
                <w:sz w:val="17"/>
              </w:rPr>
              <w:t>Refund/cancellation terms; clear pricing; auto-renewal transparency [SOLICITOR] for T&amp;Cs</w:t>
            </w:r>
          </w:p>
        </w:tc>
      </w:tr>
      <w:tr>
        <w:tc>
          <w:tcPr>
            <w:tcW w:type="dxa" w:w="3216"/>
          </w:tcPr>
          <w:p>
            <w:r>
              <w:rPr>
                <w:b w:val="0"/>
                <w:sz w:val="17"/>
              </w:rPr>
            </w:r>
            <w:r>
              <w:rPr>
                <w:b/>
                <w:sz w:val="17"/>
              </w:rPr>
              <w:t>Advertising</w:t>
            </w:r>
            <w:r>
              <w:rPr>
                <w:b w:val="0"/>
                <w:sz w:val="17"/>
              </w:rPr>
              <w:t xml:space="preserve"> (CAP Code; ASA)</w:t>
            </w:r>
          </w:p>
        </w:tc>
        <w:tc>
          <w:tcPr>
            <w:tcW w:type="dxa" w:w="3216"/>
          </w:tcPr>
          <w:p>
            <w:r>
              <w:rPr>
                <w:b w:val="0"/>
                <w:sz w:val="17"/>
              </w:rPr>
            </w:r>
            <w:r>
              <w:rPr>
                <w:b w:val="0"/>
                <w:sz w:val="17"/>
              </w:rPr>
              <w:t>All marketing</w:t>
            </w:r>
          </w:p>
        </w:tc>
        <w:tc>
          <w:tcPr>
            <w:tcW w:type="dxa" w:w="3216"/>
          </w:tcPr>
          <w:p>
            <w:r>
              <w:rPr>
                <w:b w:val="0"/>
                <w:sz w:val="17"/>
              </w:rPr>
            </w:r>
            <w:r>
              <w:rPr>
                <w:b w:val="0"/>
                <w:sz w:val="17"/>
              </w:rPr>
              <w:t>No unsubstantiated health or efficacy claims; "MaternaLink (in development)"</w:t>
            </w:r>
          </w:p>
        </w:tc>
      </w:tr>
    </w:tbl>
    <w:p/>
    <w:p>
      <w:pPr>
        <w:pStyle w:val="Heading2"/>
      </w:pPr>
      <w:r>
        <w:t>4. Medical-device regulation — UK MDR 2002, MHRA, UKCA</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Position</w:t>
            </w:r>
          </w:p>
        </w:tc>
      </w:tr>
      <w:tr>
        <w:tc>
          <w:tcPr>
            <w:tcW w:type="dxa" w:w="4824"/>
          </w:tcPr>
          <w:p>
            <w:r>
              <w:rPr>
                <w:b w:val="0"/>
                <w:sz w:val="17"/>
              </w:rPr>
            </w:r>
            <w:r>
              <w:rPr>
                <w:b w:val="0"/>
                <w:sz w:val="17"/>
              </w:rPr>
              <w:t>Qualification</w:t>
            </w:r>
          </w:p>
        </w:tc>
        <w:tc>
          <w:tcPr>
            <w:tcW w:type="dxa" w:w="4824"/>
          </w:tcPr>
          <w:p>
            <w:r>
              <w:rPr>
                <w:b w:val="0"/>
                <w:sz w:val="17"/>
              </w:rPr>
            </w:r>
            <w:r>
              <w:rPr>
                <w:b w:val="0"/>
                <w:sz w:val="17"/>
              </w:rPr>
              <w:t xml:space="preserve">The UK Medical Devices Regulations 2002 (as amended) define a device by manufacturer's intended purpose. MaternaLink v1's intended-use statement (product strategy §21.1) excludes diagnosis, monitoring, prediction, prognosis and treatment, and excludes clinical decision support. </w:t>
            </w:r>
            <w:r>
              <w:rPr>
                <w:b/>
                <w:sz w:val="17"/>
              </w:rPr>
              <w:t>Document the qualification decision</w:t>
            </w:r>
            <w:r>
              <w:rPr>
                <w:b w:val="0"/>
                <w:sz w:val="17"/>
              </w:rPr>
              <w:t xml:space="preserve"> with MHRA's software/AI-as-a-medical-device guidance cited (https://www.gov.uk/guidance/regulating-medical-devices-in-the-uk). [REG-CONSULTANT] to confirm the decision in writing — ESTIMATE £1,500–£4,000 for a qualification/classification opinion.</w:t>
            </w:r>
          </w:p>
        </w:tc>
      </w:tr>
      <w:tr>
        <w:tc>
          <w:tcPr>
            <w:tcW w:type="dxa" w:w="4824"/>
          </w:tcPr>
          <w:p>
            <w:r>
              <w:rPr>
                <w:b w:val="0"/>
                <w:sz w:val="17"/>
              </w:rPr>
            </w:r>
            <w:r>
              <w:rPr>
                <w:b w:val="0"/>
                <w:sz w:val="17"/>
              </w:rPr>
              <w:t>Intended-use control</w:t>
            </w:r>
          </w:p>
        </w:tc>
        <w:tc>
          <w:tcPr>
            <w:tcW w:type="dxa" w:w="4824"/>
          </w:tcPr>
          <w:p>
            <w:r>
              <w:rPr>
                <w:b w:val="0"/>
                <w:sz w:val="17"/>
              </w:rPr>
            </w:r>
            <w:r>
              <w:rPr>
                <w:b w:val="0"/>
                <w:sz w:val="17"/>
              </w:rPr>
              <w:t>Product charter rule: no feature ships that (a) applies thresholds to individual observations, (b) scores questionnaires for clinical purposes, (c) prioritises or triages by algorithm, or (d) produces a risk score, without a documented re-qualification. Change control owned by the product lead; CSO countersigns.</w:t>
            </w:r>
          </w:p>
        </w:tc>
      </w:tr>
      <w:tr>
        <w:tc>
          <w:tcPr>
            <w:tcW w:type="dxa" w:w="4824"/>
          </w:tcPr>
          <w:p>
            <w:r>
              <w:rPr>
                <w:b w:val="0"/>
                <w:sz w:val="17"/>
              </w:rPr>
            </w:r>
            <w:r>
              <w:rPr>
                <w:b w:val="0"/>
                <w:sz w:val="17"/>
              </w:rPr>
              <w:t>If a feature crosses the line</w:t>
            </w:r>
          </w:p>
        </w:tc>
        <w:tc>
          <w:tcPr>
            <w:tcW w:type="dxa" w:w="4824"/>
          </w:tcPr>
          <w:p>
            <w:r>
              <w:rPr>
                <w:b w:val="0"/>
                <w:sz w:val="17"/>
              </w:rPr>
            </w:r>
            <w:r>
              <w:rPr>
                <w:b w:val="0"/>
                <w:sz w:val="17"/>
              </w:rPr>
              <w:t>Likely Class I (UKCA self-declaration, MHRA registration, technical file, post-market surveillance) or Class IIa+ (UK Approved Body; ISO 13485 QMS, IEC 62304, ISO 14971, clinical evaluation). ESTIMATE £40k–£150k and 9–18 months for Class IIa. Post-market surveillance regulations in force since June 2025 (TO VALIDATE).</w:t>
            </w:r>
          </w:p>
        </w:tc>
      </w:tr>
      <w:tr>
        <w:tc>
          <w:tcPr>
            <w:tcW w:type="dxa" w:w="4824"/>
          </w:tcPr>
          <w:p>
            <w:r>
              <w:rPr>
                <w:b w:val="0"/>
                <w:sz w:val="17"/>
              </w:rPr>
            </w:r>
            <w:r>
              <w:rPr>
                <w:b w:val="0"/>
                <w:sz w:val="17"/>
              </w:rPr>
              <w:t>2026 reform</w:t>
            </w:r>
          </w:p>
        </w:tc>
        <w:tc>
          <w:tcPr>
            <w:tcW w:type="dxa" w:w="4824"/>
          </w:tcPr>
          <w:p>
            <w:r>
              <w:rPr>
                <w:b w:val="0"/>
                <w:sz w:val="17"/>
              </w:rPr>
            </w:r>
            <w:r>
              <w:rPr>
                <w:b w:val="0"/>
                <w:sz w:val="17"/>
              </w:rPr>
              <w:t>MHRA has published draft Medical Devices (Amendment) Regulations 2026 (pre-market reform: international reliance, updated classification, PCCP pathway for software, cybersecurity) and consulted (Feb 2026) on extending or making indefinite the recognition of CE-marked devices (current deadlines 30 June 2028 for MDD devices, 30 June 2030 for MDR/IVDR devices). Sources: https://www.hoganlovells.com/en/publications/uk-medical-devices-reform-mhra-publishes ; https://www.lw.com/en/insights/uk-mhra-launches-consultation-on-indefinite-recognition-of-ce-marked-medical-devices ; https://www.gov.uk/guidance/regulating-medical-devices-in-the-uk . An AI-as-a-medical-device framework is expected in 2026. All TO VALIDATE at the time of any device decision.</w:t>
            </w:r>
          </w:p>
        </w:tc>
      </w:tr>
      <w:tr>
        <w:tc>
          <w:tcPr>
            <w:tcW w:type="dxa" w:w="4824"/>
          </w:tcPr>
          <w:p>
            <w:r>
              <w:rPr>
                <w:b w:val="0"/>
                <w:sz w:val="17"/>
              </w:rPr>
            </w:r>
            <w:r>
              <w:rPr>
                <w:b w:val="0"/>
                <w:sz w:val="17"/>
              </w:rPr>
              <w:t>v3 AI research track</w:t>
            </w:r>
          </w:p>
        </w:tc>
        <w:tc>
          <w:tcPr>
            <w:tcW w:type="dxa" w:w="4824"/>
          </w:tcPr>
          <w:p>
            <w:r>
              <w:rPr>
                <w:b w:val="0"/>
                <w:sz w:val="17"/>
              </w:rPr>
            </w:r>
            <w:r>
              <w:rPr>
                <w:b w:val="0"/>
                <w:sz w:val="17"/>
              </w:rPr>
              <w:t>Research use under ethics approval is not placing a device on the market; any clinical investigation of a device requires MHRA notification/approval and HRA/REC approval.</w:t>
            </w:r>
          </w:p>
        </w:tc>
      </w:tr>
      <w:tr>
        <w:tc>
          <w:tcPr>
            <w:tcW w:type="dxa" w:w="4824"/>
          </w:tcPr>
          <w:p>
            <w:r>
              <w:rPr>
                <w:b w:val="0"/>
                <w:sz w:val="17"/>
              </w:rPr>
            </w:r>
            <w:r>
              <w:rPr>
                <w:b w:val="0"/>
                <w:sz w:val="17"/>
              </w:rPr>
              <w:t>Nigeria (NAFDAC)</w:t>
            </w:r>
          </w:p>
        </w:tc>
        <w:tc>
          <w:tcPr>
            <w:tcW w:type="dxa" w:w="4824"/>
          </w:tcPr>
          <w:p>
            <w:r>
              <w:rPr>
                <w:b w:val="0"/>
                <w:sz w:val="17"/>
              </w:rPr>
            </w:r>
            <w:r>
              <w:rPr>
                <w:b w:val="0"/>
                <w:sz w:val="17"/>
              </w:rPr>
              <w:t>NAFDAC regulates medical devices; position on standalone software TO VALIDATE (§12).</w:t>
            </w:r>
          </w:p>
        </w:tc>
      </w:tr>
    </w:tbl>
    <w:p/>
    <w:p>
      <w:pPr>
        <w:pStyle w:val="Heading2"/>
      </w:pPr>
      <w:r>
        <w:t>5. AI regulation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Jurisdiction</w:t>
            </w:r>
          </w:p>
        </w:tc>
        <w:tc>
          <w:tcPr>
            <w:tcW w:type="dxa" w:w="4824"/>
          </w:tcPr>
          <w:p>
            <w:r>
              <w:rPr>
                <w:b/>
                <w:sz w:val="17"/>
              </w:rPr>
            </w:r>
            <w:r>
              <w:rPr>
                <w:b/>
                <w:sz w:val="17"/>
              </w:rPr>
              <w:t>Position</w:t>
            </w:r>
          </w:p>
        </w:tc>
      </w:tr>
      <w:tr>
        <w:tc>
          <w:tcPr>
            <w:tcW w:type="dxa" w:w="4824"/>
          </w:tcPr>
          <w:p>
            <w:r>
              <w:rPr>
                <w:b w:val="0"/>
                <w:sz w:val="17"/>
              </w:rPr>
            </w:r>
            <w:r>
              <w:rPr>
                <w:b w:val="0"/>
                <w:sz w:val="17"/>
              </w:rPr>
              <w:t>UK</w:t>
            </w:r>
          </w:p>
        </w:tc>
        <w:tc>
          <w:tcPr>
            <w:tcW w:type="dxa" w:w="4824"/>
          </w:tcPr>
          <w:p>
            <w:r>
              <w:rPr>
                <w:b w:val="0"/>
                <w:sz w:val="17"/>
              </w:rPr>
            </w:r>
            <w:r>
              <w:rPr>
                <w:b w:val="0"/>
                <w:sz w:val="17"/>
              </w:rPr>
              <w:t>No horizontal AI statute (as at the last verified position; TO VALIDATE for 2026 developments). Sector regulators apply five principles (safety, transparency, fairness, accountability, contestability) — MHRA for devices, ICO for data (automated decision-making rules under UK GDPR Art. 22 as amended by the DUAA 2025), CQC/NHS for deployment. v1 uses no clinical AI; any non-clinical AI (e.g. translation, message drafting) must be disclosed, human-reviewed and excluded from clinical content without sign-off.</w:t>
            </w:r>
          </w:p>
        </w:tc>
      </w:tr>
      <w:tr>
        <w:tc>
          <w:tcPr>
            <w:tcW w:type="dxa" w:w="4824"/>
          </w:tcPr>
          <w:p>
            <w:r>
              <w:rPr>
                <w:b w:val="0"/>
                <w:sz w:val="17"/>
              </w:rPr>
            </w:r>
            <w:r>
              <w:rPr>
                <w:b w:val="0"/>
                <w:sz w:val="17"/>
              </w:rPr>
              <w:t>EU (only if EU sales)</w:t>
            </w:r>
          </w:p>
        </w:tc>
        <w:tc>
          <w:tcPr>
            <w:tcW w:type="dxa" w:w="4824"/>
          </w:tcPr>
          <w:p>
            <w:r>
              <w:rPr>
                <w:b w:val="0"/>
                <w:sz w:val="17"/>
              </w:rPr>
            </w:r>
            <w:r>
              <w:rPr>
                <w:b w:val="0"/>
                <w:sz w:val="17"/>
              </w:rPr>
              <w:t>EU AI Act (Regulation (EU) 2024/1689): AI that is a medical device or a safety component is "high-risk"; obligations phase in through 2026–2027 (TO VALIDATE dates). Avoid EU deployment of any AI feature until assessed. [SOLICITOR] with EU expertise if EU sales are pursued.</w:t>
            </w:r>
          </w:p>
        </w:tc>
      </w:tr>
      <w:tr>
        <w:tc>
          <w:tcPr>
            <w:tcW w:type="dxa" w:w="4824"/>
          </w:tcPr>
          <w:p>
            <w:r>
              <w:rPr>
                <w:b w:val="0"/>
                <w:sz w:val="17"/>
              </w:rPr>
            </w:r>
            <w:r>
              <w:rPr>
                <w:b w:val="0"/>
                <w:sz w:val="17"/>
              </w:rPr>
              <w:t>Nigeria</w:t>
            </w:r>
          </w:p>
        </w:tc>
        <w:tc>
          <w:tcPr>
            <w:tcW w:type="dxa" w:w="4824"/>
          </w:tcPr>
          <w:p>
            <w:r>
              <w:rPr>
                <w:b w:val="0"/>
                <w:sz w:val="17"/>
              </w:rPr>
            </w:r>
            <w:r>
              <w:rPr>
                <w:b w:val="0"/>
                <w:sz w:val="17"/>
              </w:rPr>
              <w:t>National AI strategy in development; NDPA 2023 governs automated decisions on personal data (TO VALIDATE).</w:t>
            </w:r>
          </w:p>
        </w:tc>
      </w:tr>
      <w:tr>
        <w:tc>
          <w:tcPr>
            <w:tcW w:type="dxa" w:w="4824"/>
          </w:tcPr>
          <w:p>
            <w:r>
              <w:rPr>
                <w:b w:val="0"/>
                <w:sz w:val="17"/>
              </w:rPr>
            </w:r>
            <w:r>
              <w:rPr>
                <w:b w:val="0"/>
                <w:sz w:val="17"/>
              </w:rPr>
              <w:t>Internal policy</w:t>
            </w:r>
          </w:p>
        </w:tc>
        <w:tc>
          <w:tcPr>
            <w:tcW w:type="dxa" w:w="4824"/>
          </w:tcPr>
          <w:p>
            <w:r>
              <w:rPr>
                <w:b w:val="0"/>
                <w:sz w:val="17"/>
              </w:rPr>
            </w:r>
            <w:r>
              <w:rPr>
                <w:b w:val="0"/>
                <w:sz w:val="17"/>
              </w:rPr>
              <w:t>AI-use policy (§9) covering: no patient data into third-party AI tools; disclosure; bias review for any model; model cards; human accountability.</w:t>
            </w:r>
          </w:p>
        </w:tc>
      </w:tr>
    </w:tbl>
    <w:p/>
    <w:p>
      <w:pPr>
        <w:pStyle w:val="Heading2"/>
      </w:pPr>
      <w:r>
        <w:t>6. Clinical governance</w:t>
      </w:r>
    </w:p>
    <w:p>
      <w:pPr>
        <w:pStyle w:val="ListBullet"/>
      </w:pPr>
      <w:r>
        <w:rPr>
          <w:b/>
        </w:rPr>
        <w:t>Clinical Advisory Group</w:t>
      </w:r>
      <w:r>
        <w:t>: 3–5 clinicians (obstetrician, senior midwife, GP/public health, Nigerian clinician, lived-experience representative); terms of reference; conflicts register; minutes. Recruit from Day 30; first meeting by Day 90 (PROPOSED).</w:t>
      </w:r>
    </w:p>
    <w:p>
      <w:pPr>
        <w:pStyle w:val="ListBullet"/>
      </w:pPr>
      <w:r>
        <w:rPr>
          <w:b/>
        </w:rPr>
        <w:t>Clinical Safety Officer</w:t>
      </w:r>
      <w:r>
        <w:t>: contracted before build week 1; owns DCB0129 outputs.</w:t>
      </w:r>
    </w:p>
    <w:p>
      <w:pPr>
        <w:pStyle w:val="ListBullet"/>
      </w:pPr>
      <w:r>
        <w:rPr>
          <w:b/>
        </w:rPr>
        <w:t>Content governance</w:t>
      </w:r>
      <w:r>
        <w:t>: two-person sign-off (clinical author + reviewer), sources cited (NICE, RCOG, WHO, Nigeria FMoH), version and review date, content-incident route.</w:t>
      </w:r>
    </w:p>
    <w:p>
      <w:pPr>
        <w:pStyle w:val="ListBullet"/>
      </w:pPr>
      <w:r>
        <w:rPr>
          <w:b/>
        </w:rPr>
        <w:t>Incident management</w:t>
      </w:r>
      <w:r>
        <w:t>: safety incidents to CSO within 24 hours; to deploying organisation per contract; MHRA Yellow Card if ever a device; lessons log.</w:t>
      </w:r>
    </w:p>
    <w:p>
      <w:pPr>
        <w:pStyle w:val="ListBullet"/>
      </w:pPr>
      <w:r>
        <w:rPr>
          <w:b/>
        </w:rPr>
        <w:t>Evaluation ethics</w:t>
      </w:r>
      <w:r>
        <w:t>: service evaluation (no REC approval usually) vs research (HRA/REC approval); use the HRA decision tool; in Nigeria, NHREC/institutional ethics approval for any evaluation involving participants.</w:t>
      </w:r>
    </w:p>
    <w:p>
      <w:pPr>
        <w:pStyle w:val="Heading2"/>
      </w:pPr>
      <w:r>
        <w:t>7. Safeguarding</w:t>
      </w:r>
    </w:p>
    <w:p>
      <w:pPr>
        <w:pStyle w:val="ListBullet"/>
      </w:pPr>
      <w:r>
        <w:t>Adopt a safeguarding policy (adults and children) even though Vytalix does not deliver care: MaternaLink users may disclose abuse, self-harm or risk in messages; the deploying organisation's safeguarding lead owns the response; the platform must route and record, not assess.</w:t>
      </w:r>
    </w:p>
    <w:p>
      <w:pPr>
        <w:pStyle w:val="ListBullet"/>
      </w:pPr>
      <w:r>
        <w:t>Under-18 users (pregnant adolescents): parental/guardian and competence considerations; product design for consent (product strategy §11 and §19).</w:t>
      </w:r>
    </w:p>
    <w:p>
      <w:pPr>
        <w:pStyle w:val="ListBullet"/>
      </w:pPr>
      <w:r>
        <w:t>Staff/contractors with any user contact: DBS checks where applicable (TO VALIDATE; usually not required for non-contact software roles).</w:t>
      </w:r>
    </w:p>
    <w:p>
      <w:pPr>
        <w:pStyle w:val="ListBullet"/>
      </w:pPr>
      <w:r>
        <w:t>Named safeguarding lead at Vytalix (founder until a clinical lead exists); training annually.</w:t>
      </w:r>
    </w:p>
    <w:p>
      <w:pPr>
        <w:pStyle w:val="Heading2"/>
      </w:pPr>
      <w:r>
        <w:t>8. Intellectual property</w:t>
      </w:r>
    </w:p>
    <w:p>
      <w:pPr>
        <w:pStyle w:val="Heading3"/>
      </w:pPr>
      <w:r>
        <w:t>8.1 Trademark clearance and filing</w:t>
      </w:r>
    </w:p>
    <w:p>
      <w:pPr>
        <w:pStyle w:val="ListBullet"/>
      </w:pPr>
      <w:r>
        <w:rPr>
          <w:b/>
        </w:rPr>
        <w:t>Conflicts identified (VERIFIED via search; registry status TO VALIDATE):</w:t>
      </w:r>
      <w:r>
        <w:t xml:space="preserve"> VITALIX LTD (UK company nos. 16813455 and 15155964), VITALX LTD, VYTAL(UK) LIMITED, Vytalyx Inc. (Austin, Texas; AI/blockchain health-tech; vytalyx.io), Vytalize Health (New Jersey; value-based care). Phonetic and visual similarity is high in Classes 9, 42 and 44.</w:t>
      </w:r>
    </w:p>
    <w:p>
      <w:pPr>
        <w:pStyle w:val="ListBullet"/>
      </w:pPr>
      <w:r>
        <w:rPr>
          <w:b/>
        </w:rPr>
        <w:t>Clearance process (Day 1–5):</w:t>
      </w:r>
      <w:r>
        <w:t xml:space="preserve"> (1) UK IPO trade-mark search for "Vytalix"/"Vitalyx"/"Vitalix"/"Vytalyx" in Classes 9, 35, 41, 42, 44; (2) EUIPO and USPTO knock-out searches; (3) Companies House name check; (4) domain and social-handle check; (5) written opinion from a trade-mark attorney (ESTIMATE £500–£1,500). [SOLICITOR / trade-mark attorney]</w:t>
      </w:r>
    </w:p>
    <w:p>
      <w:pPr>
        <w:pStyle w:val="ListBullet"/>
      </w:pPr>
      <w:r>
        <w:rPr>
          <w:b/>
        </w:rPr>
        <w:t>Decision rule:</w:t>
      </w:r>
      <w:r>
        <w:t xml:space="preserve"> if a registered UK/EU mark exists in Class 9/42/44 for a confusingly similar sign, or a US health-tech company with the near-identical name is active in the UK, </w:t>
      </w:r>
      <w:r>
        <w:rPr>
          <w:b/>
        </w:rPr>
        <w:t>rename</w:t>
      </w:r>
      <w:r>
        <w:t xml:space="preserve"> before any brand spend. The brand system (</w:t>
      </w:r>
      <w:r>
        <w:rPr>
          <w:rFonts w:ascii="Consolas" w:hAnsi="Consolas"/>
          <w:sz w:val="18"/>
        </w:rPr>
        <w:t>/docs/03_BRAND_SYSTEM.md</w:t>
      </w:r>
      <w:r>
        <w:t>) is built for a low-cost rename.</w:t>
      </w:r>
    </w:p>
    <w:p>
      <w:pPr>
        <w:pStyle w:val="ListBullet"/>
      </w:pPr>
      <w:r>
        <w:rPr>
          <w:b/>
        </w:rPr>
        <w:t>Filing:</w:t>
      </w:r>
      <w:r>
        <w:t xml:space="preserve"> UK IPO fees from 1 April 2026: </w:t>
      </w:r>
      <w:r>
        <w:rPr>
          <w:b/>
        </w:rPr>
        <w:t>£205 for one class, £60 per additional class</w:t>
      </w:r>
      <w:r>
        <w:t xml:space="preserve"> (previously £170/£50). Sources: https://www.reddie.co.uk/2026/03/09/uk-trade-mark-fee-increases-from-1-april-2026/ ; https://www.citma.org.uk/resources/uk-ipo-announces-first-trade-mark-fee-increase-in-nearly-three-decades-mb25.html ; https://www.ipo.gov.uk/tm3-servicesfees . Four classes (9, 41, 42, 44) ≈ £385 official fees (ESTIMATE) plus attorney fees £600–£1,200. File "MaternaLink" separately once ownership is settled (§8.3); clear it against "Maternal Link" usage by David Agunede and third parties.</w:t>
      </w:r>
    </w:p>
    <w:p>
      <w:pPr>
        <w:pStyle w:val="ListBullet"/>
      </w:pPr>
      <w:r>
        <w:t>Nigeria trademark (Trademarks Registry, Federal Ministry of Industry, Trade and Investment) once a Nigeria deployment is likely: TO VALIDATE fees and process; local agent required.</w:t>
      </w:r>
    </w:p>
    <w:p>
      <w:pPr>
        <w:pStyle w:val="Heading3"/>
      </w:pPr>
      <w:r>
        <w:t>8.2 Copyright, code and content</w:t>
      </w:r>
    </w:p>
    <w:p>
      <w:pPr>
        <w:pStyle w:val="ListBullet"/>
      </w:pPr>
      <w:r>
        <w:t xml:space="preserve">Copyright in code, decks, content and this repository vests in the author (or employer). The founder's own work is personal IP until assigned to the company: sign a </w:t>
      </w:r>
      <w:r>
        <w:rPr>
          <w:b/>
        </w:rPr>
        <w:t>founder IP assignment</w:t>
      </w:r>
      <w:r>
        <w:t xml:space="preserve"> at incorporation (nominal consideration). [SOLICITOR] template.</w:t>
      </w:r>
    </w:p>
    <w:p>
      <w:pPr>
        <w:pStyle w:val="ListBullet"/>
      </w:pPr>
      <w:r>
        <w:t>All contractors and developers: written contracts with present assignment of IP, moral-rights waiver, confidentiality (§9). No code merged without a signed agreement.</w:t>
      </w:r>
    </w:p>
    <w:p>
      <w:pPr>
        <w:pStyle w:val="ListBullet"/>
      </w:pPr>
      <w:r>
        <w:t>Clinical/educational content: authorship and licence terms with every clinical co-author.</w:t>
      </w:r>
    </w:p>
    <w:p>
      <w:pPr>
        <w:pStyle w:val="Heading3"/>
      </w:pPr>
      <w:r>
        <w:t>8.3 MaternaLink IP — David Agunede</w:t>
      </w:r>
    </w:p>
    <w:p>
      <w:pPr>
        <w:pStyle w:val="ListBullet"/>
      </w:pPr>
      <w:r>
        <w:rPr>
          <w:b/>
        </w:rPr>
        <w:t>Facts:</w:t>
      </w:r>
      <w:r>
        <w:t xml:space="preserve"> David Agunede signs as "Founder &amp; CEO, Maternal Link"; authored/sent the Ekiti proposal, decks, charge sheet and negotiation sheet; a Vercel prototype exists with unknown authorship (VERIFIED, FACTS_BASE §1). No agreement exists (VERIFIED gap).</w:t>
      </w:r>
    </w:p>
    <w:p>
      <w:pPr>
        <w:pStyle w:val="ListBullet"/>
      </w:pPr>
      <w:r>
        <w:rPr>
          <w:b/>
        </w:rPr>
        <w:t>Objective:</w:t>
      </w:r>
      <w:r>
        <w:t xml:space="preserve"> a signed written agreement by Day 30 (heads of terms by Day 7) that gives Vytalix clear title or an exclusive licence to the MaternaLink name, code, materials and relationships, and defines David's role.</w:t>
      </w:r>
    </w:p>
    <w:p>
      <w:pPr>
        <w:pStyle w:val="ListBullet"/>
      </w:pPr>
      <w:r>
        <w:rPr>
          <w:b/>
        </w:rPr>
        <w:t>Options (to be negotiated; [SOLICITOR] drafts):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Option</w:t>
            </w:r>
          </w:p>
        </w:tc>
        <w:tc>
          <w:tcPr>
            <w:tcW w:type="dxa" w:w="1930"/>
          </w:tcPr>
          <w:p>
            <w:r>
              <w:rPr>
                <w:b/>
                <w:sz w:val="17"/>
              </w:rPr>
            </w:r>
            <w:r>
              <w:rPr>
                <w:b/>
                <w:sz w:val="17"/>
              </w:rPr>
              <w:t>Structure</w:t>
            </w:r>
          </w:p>
        </w:tc>
        <w:tc>
          <w:tcPr>
            <w:tcW w:type="dxa" w:w="1930"/>
          </w:tcPr>
          <w:p>
            <w:r>
              <w:rPr>
                <w:b/>
                <w:sz w:val="17"/>
              </w:rPr>
            </w:r>
            <w:r>
              <w:rPr>
                <w:b/>
                <w:sz w:val="17"/>
              </w:rPr>
              <w:t>Pros</w:t>
            </w:r>
          </w:p>
        </w:tc>
        <w:tc>
          <w:tcPr>
            <w:tcW w:type="dxa" w:w="1930"/>
          </w:tcPr>
          <w:p>
            <w:r>
              <w:rPr>
                <w:b/>
                <w:sz w:val="17"/>
              </w:rPr>
            </w:r>
            <w:r>
              <w:rPr>
                <w:b/>
                <w:sz w:val="17"/>
              </w:rPr>
              <w:t>Cons</w:t>
            </w:r>
          </w:p>
        </w:tc>
        <w:tc>
          <w:tcPr>
            <w:tcW w:type="dxa" w:w="1930"/>
          </w:tcPr>
          <w:p>
            <w:r>
              <w:rPr>
                <w:b/>
                <w:sz w:val="17"/>
              </w:rPr>
            </w:r>
            <w:r>
              <w:rPr>
                <w:b/>
                <w:sz w:val="17"/>
              </w:rPr>
              <w:t>When</w:t>
            </w:r>
          </w:p>
        </w:tc>
      </w:tr>
      <w:tr>
        <w:tc>
          <w:tcPr>
            <w:tcW w:type="dxa" w:w="1930"/>
          </w:tcPr>
          <w:p>
            <w:r>
              <w:rPr>
                <w:b w:val="0"/>
                <w:sz w:val="17"/>
              </w:rPr>
            </w:r>
            <w:r>
              <w:rPr>
                <w:b w:val="0"/>
                <w:sz w:val="17"/>
              </w:rPr>
              <w:t>A. Assignment for equity</w:t>
            </w:r>
          </w:p>
        </w:tc>
        <w:tc>
          <w:tcPr>
            <w:tcW w:type="dxa" w:w="1930"/>
          </w:tcPr>
          <w:p>
            <w:r>
              <w:rPr>
                <w:b w:val="0"/>
                <w:sz w:val="17"/>
              </w:rPr>
            </w:r>
            <w:r>
              <w:rPr>
                <w:b w:val="0"/>
                <w:sz w:val="17"/>
              </w:rPr>
              <w:t>David assigns all MaternaLink IP to Vytalix; receives shares (vesting, good/bad-leaver) and a defined role</w:t>
            </w:r>
          </w:p>
        </w:tc>
        <w:tc>
          <w:tcPr>
            <w:tcW w:type="dxa" w:w="1930"/>
          </w:tcPr>
          <w:p>
            <w:r>
              <w:rPr>
                <w:b w:val="0"/>
                <w:sz w:val="17"/>
              </w:rPr>
            </w:r>
            <w:r>
              <w:rPr>
                <w:b w:val="0"/>
                <w:sz w:val="17"/>
              </w:rPr>
              <w:t>Clean title; investor-ready</w:t>
            </w:r>
          </w:p>
        </w:tc>
        <w:tc>
          <w:tcPr>
            <w:tcW w:type="dxa" w:w="1930"/>
          </w:tcPr>
          <w:p>
            <w:r>
              <w:rPr>
                <w:b w:val="0"/>
                <w:sz w:val="17"/>
              </w:rPr>
            </w:r>
            <w:r>
              <w:rPr>
                <w:b w:val="0"/>
                <w:sz w:val="17"/>
              </w:rPr>
              <w:t>Dilution; needs shareholders' agreement</w:t>
            </w:r>
          </w:p>
        </w:tc>
        <w:tc>
          <w:tcPr>
            <w:tcW w:type="dxa" w:w="1930"/>
          </w:tcPr>
          <w:p>
            <w:r>
              <w:rPr>
                <w:b w:val="0"/>
                <w:sz w:val="17"/>
              </w:rPr>
            </w:r>
            <w:r>
              <w:rPr>
                <w:b w:val="0"/>
                <w:sz w:val="17"/>
              </w:rPr>
              <w:t>Preferred if David wants to build together</w:t>
            </w:r>
          </w:p>
        </w:tc>
      </w:tr>
      <w:tr>
        <w:tc>
          <w:tcPr>
            <w:tcW w:type="dxa" w:w="1930"/>
          </w:tcPr>
          <w:p>
            <w:r>
              <w:rPr>
                <w:b w:val="0"/>
                <w:sz w:val="17"/>
              </w:rPr>
            </w:r>
            <w:r>
              <w:rPr>
                <w:b w:val="0"/>
                <w:sz w:val="17"/>
              </w:rPr>
              <w:t>B. Assignment for cash + royalty</w:t>
            </w:r>
          </w:p>
        </w:tc>
        <w:tc>
          <w:tcPr>
            <w:tcW w:type="dxa" w:w="1930"/>
          </w:tcPr>
          <w:p>
            <w:r>
              <w:rPr>
                <w:b w:val="0"/>
                <w:sz w:val="17"/>
              </w:rPr>
            </w:r>
            <w:r>
              <w:rPr>
                <w:b w:val="0"/>
                <w:sz w:val="17"/>
              </w:rPr>
              <w:t>Assignment; modest cash and/or capped royalty on MaternaLink revenue</w:t>
            </w:r>
          </w:p>
        </w:tc>
        <w:tc>
          <w:tcPr>
            <w:tcW w:type="dxa" w:w="1930"/>
          </w:tcPr>
          <w:p>
            <w:r>
              <w:rPr>
                <w:b w:val="0"/>
                <w:sz w:val="17"/>
              </w:rPr>
            </w:r>
            <w:r>
              <w:rPr>
                <w:b w:val="0"/>
                <w:sz w:val="17"/>
              </w:rPr>
              <w:t>Clean title; no dilution</w:t>
            </w:r>
          </w:p>
        </w:tc>
        <w:tc>
          <w:tcPr>
            <w:tcW w:type="dxa" w:w="1930"/>
          </w:tcPr>
          <w:p>
            <w:r>
              <w:rPr>
                <w:b w:val="0"/>
                <w:sz w:val="17"/>
              </w:rPr>
            </w:r>
            <w:r>
              <w:rPr>
                <w:b w:val="0"/>
                <w:sz w:val="17"/>
              </w:rPr>
              <w:t>Cash now; royalty complicates later financing</w:t>
            </w:r>
          </w:p>
        </w:tc>
        <w:tc>
          <w:tcPr>
            <w:tcW w:type="dxa" w:w="1930"/>
          </w:tcPr>
          <w:p>
            <w:r>
              <w:rPr>
                <w:b w:val="0"/>
                <w:sz w:val="17"/>
              </w:rPr>
            </w:r>
            <w:r>
              <w:rPr>
                <w:b w:val="0"/>
                <w:sz w:val="17"/>
              </w:rPr>
              <w:t>If David wants out</w:t>
            </w:r>
          </w:p>
        </w:tc>
      </w:tr>
      <w:tr>
        <w:tc>
          <w:tcPr>
            <w:tcW w:type="dxa" w:w="1930"/>
          </w:tcPr>
          <w:p>
            <w:r>
              <w:rPr>
                <w:b w:val="0"/>
                <w:sz w:val="17"/>
              </w:rPr>
            </w:r>
            <w:r>
              <w:rPr>
                <w:b w:val="0"/>
                <w:sz w:val="17"/>
              </w:rPr>
              <w:t>C. Exclusive licence</w:t>
            </w:r>
          </w:p>
        </w:tc>
        <w:tc>
          <w:tcPr>
            <w:tcW w:type="dxa" w:w="1930"/>
          </w:tcPr>
          <w:p>
            <w:r>
              <w:rPr>
                <w:b w:val="0"/>
                <w:sz w:val="17"/>
              </w:rPr>
            </w:r>
            <w:r>
              <w:rPr>
                <w:b w:val="0"/>
                <w:sz w:val="17"/>
              </w:rPr>
              <w:t>Vytalix gets exclusive, worldwide, perpetual licence; David retains title</w:t>
            </w:r>
          </w:p>
        </w:tc>
        <w:tc>
          <w:tcPr>
            <w:tcW w:type="dxa" w:w="1930"/>
          </w:tcPr>
          <w:p>
            <w:r>
              <w:rPr>
                <w:b w:val="0"/>
                <w:sz w:val="17"/>
              </w:rPr>
            </w:r>
            <w:r>
              <w:rPr>
                <w:b w:val="0"/>
                <w:sz w:val="17"/>
              </w:rPr>
              <w:t>Faster</w:t>
            </w:r>
          </w:p>
        </w:tc>
        <w:tc>
          <w:tcPr>
            <w:tcW w:type="dxa" w:w="1930"/>
          </w:tcPr>
          <w:p>
            <w:r>
              <w:rPr>
                <w:b w:val="0"/>
                <w:sz w:val="17"/>
              </w:rPr>
            </w:r>
            <w:r>
              <w:rPr>
                <w:b w:val="0"/>
                <w:sz w:val="17"/>
              </w:rPr>
              <w:t>Investors dislike licensed core IP; termination risk</w:t>
            </w:r>
          </w:p>
        </w:tc>
        <w:tc>
          <w:tcPr>
            <w:tcW w:type="dxa" w:w="1930"/>
          </w:tcPr>
          <w:p>
            <w:r>
              <w:rPr>
                <w:b w:val="0"/>
                <w:sz w:val="17"/>
              </w:rPr>
            </w:r>
            <w:r>
              <w:rPr>
                <w:b w:val="0"/>
                <w:sz w:val="17"/>
              </w:rPr>
              <w:t>Interim only (≤6 months)</w:t>
            </w:r>
          </w:p>
        </w:tc>
      </w:tr>
      <w:tr>
        <w:tc>
          <w:tcPr>
            <w:tcW w:type="dxa" w:w="1930"/>
          </w:tcPr>
          <w:p>
            <w:r>
              <w:rPr>
                <w:b w:val="0"/>
                <w:sz w:val="17"/>
              </w:rPr>
            </w:r>
            <w:r>
              <w:rPr>
                <w:b w:val="0"/>
                <w:sz w:val="17"/>
              </w:rPr>
              <w:t>D. Joint venture</w:t>
            </w:r>
          </w:p>
        </w:tc>
        <w:tc>
          <w:tcPr>
            <w:tcW w:type="dxa" w:w="1930"/>
          </w:tcPr>
          <w:p>
            <w:r>
              <w:rPr>
                <w:b w:val="0"/>
                <w:sz w:val="17"/>
              </w:rPr>
            </w:r>
            <w:r>
              <w:rPr>
                <w:b w:val="0"/>
                <w:sz w:val="17"/>
              </w:rPr>
              <w:t>New entity co-owned</w:t>
            </w:r>
          </w:p>
        </w:tc>
        <w:tc>
          <w:tcPr>
            <w:tcW w:type="dxa" w:w="1930"/>
          </w:tcPr>
          <w:p>
            <w:r>
              <w:rPr>
                <w:b w:val="0"/>
                <w:sz w:val="17"/>
              </w:rPr>
            </w:r>
            <w:r>
              <w:rPr>
                <w:b w:val="0"/>
                <w:sz w:val="17"/>
              </w:rPr>
              <w:t>Shares risk</w:t>
            </w:r>
          </w:p>
        </w:tc>
        <w:tc>
          <w:tcPr>
            <w:tcW w:type="dxa" w:w="1930"/>
          </w:tcPr>
          <w:p>
            <w:r>
              <w:rPr>
                <w:b w:val="0"/>
                <w:sz w:val="17"/>
              </w:rPr>
            </w:r>
            <w:r>
              <w:rPr>
                <w:b w:val="0"/>
                <w:sz w:val="17"/>
              </w:rPr>
              <w:t>Two cap tables; complexity</w:t>
            </w:r>
          </w:p>
        </w:tc>
        <w:tc>
          <w:tcPr>
            <w:tcW w:type="dxa" w:w="1930"/>
          </w:tcPr>
          <w:p>
            <w:r>
              <w:rPr>
                <w:b w:val="0"/>
                <w:sz w:val="17"/>
              </w:rPr>
            </w:r>
            <w:r>
              <w:rPr>
                <w:b w:val="0"/>
                <w:sz w:val="17"/>
              </w:rPr>
              <w:t>Not recommended pre-seed</w:t>
            </w:r>
          </w:p>
        </w:tc>
      </w:tr>
      <w:tr>
        <w:tc>
          <w:tcPr>
            <w:tcW w:type="dxa" w:w="1930"/>
          </w:tcPr>
          <w:p>
            <w:r>
              <w:rPr>
                <w:b w:val="0"/>
                <w:sz w:val="17"/>
              </w:rPr>
            </w:r>
            <w:r>
              <w:rPr>
                <w:b w:val="0"/>
                <w:sz w:val="17"/>
              </w:rPr>
              <w:t>E. Rebuild cleanly</w:t>
            </w:r>
          </w:p>
        </w:tc>
        <w:tc>
          <w:tcPr>
            <w:tcW w:type="dxa" w:w="1930"/>
          </w:tcPr>
          <w:p>
            <w:r>
              <w:rPr>
                <w:b w:val="0"/>
                <w:sz w:val="17"/>
              </w:rPr>
            </w:r>
            <w:r>
              <w:rPr>
                <w:b w:val="0"/>
                <w:sz w:val="17"/>
              </w:rPr>
              <w:t>Vytalix builds v1 from scratch under its own name; no use of David's code, decks or "Maternal Link" name</w:t>
            </w:r>
          </w:p>
        </w:tc>
        <w:tc>
          <w:tcPr>
            <w:tcW w:type="dxa" w:w="1930"/>
          </w:tcPr>
          <w:p>
            <w:r>
              <w:rPr>
                <w:b w:val="0"/>
                <w:sz w:val="17"/>
              </w:rPr>
            </w:r>
            <w:r>
              <w:rPr>
                <w:b w:val="0"/>
                <w:sz w:val="17"/>
              </w:rPr>
              <w:t>No dependency</w:t>
            </w:r>
          </w:p>
        </w:tc>
        <w:tc>
          <w:tcPr>
            <w:tcW w:type="dxa" w:w="1930"/>
          </w:tcPr>
          <w:p>
            <w:r>
              <w:rPr>
                <w:b w:val="0"/>
                <w:sz w:val="17"/>
              </w:rPr>
            </w:r>
            <w:r>
              <w:rPr>
                <w:b w:val="0"/>
                <w:sz w:val="17"/>
              </w:rPr>
              <w:t>Loses prototype and relationships; possible confusion with "Maternal Link" mark</w:t>
            </w:r>
          </w:p>
        </w:tc>
        <w:tc>
          <w:tcPr>
            <w:tcW w:type="dxa" w:w="1930"/>
          </w:tcPr>
          <w:p>
            <w:r>
              <w:rPr>
                <w:b w:val="0"/>
                <w:sz w:val="17"/>
              </w:rPr>
            </w:r>
            <w:r>
              <w:rPr>
                <w:b w:val="0"/>
                <w:sz w:val="17"/>
              </w:rPr>
              <w:t>If no agreement by Day 60</w:t>
            </w:r>
          </w:p>
        </w:tc>
      </w:tr>
    </w:tbl>
    <w:p/>
    <w:p>
      <w:pPr>
        <w:pStyle w:val="ListBullet"/>
      </w:pPr>
      <w:r>
        <w:rPr>
          <w:b/>
        </w:rPr>
        <w:t>Heads of terms must cover:</w:t>
      </w:r>
      <w:r>
        <w:t xml:space="preserve"> scope of IP (code, repos, hosting accounts, domain, name, decks, proposals, data); warranties on authorship and third-party code; no real patient data warranty; transfer of the Vercel project and any accounts; the Ekiti relationship (who speaks for what); confidentiality; non-compete/non-solicit reasonableness; role, time and compensation; dispute resolution; governing law (England and Wales).</w:t>
      </w:r>
    </w:p>
    <w:p>
      <w:pPr>
        <w:pStyle w:val="ListBullet"/>
      </w:pPr>
      <w:r>
        <w:rPr>
          <w:b/>
        </w:rPr>
        <w:t>Prototype audit before acceptance:</w:t>
      </w:r>
      <w:r>
        <w:t xml:space="preserve"> code provenance, licences of dependencies, secrets in repo, data held, security posture (product strategy §25).</w:t>
      </w:r>
    </w:p>
    <w:p>
      <w:pPr>
        <w:pStyle w:val="Heading3"/>
      </w:pPr>
      <w:r>
        <w:t>8.4 Open-source hygiene</w:t>
      </w:r>
    </w:p>
    <w:p>
      <w:pPr>
        <w:pStyle w:val="ListBullet"/>
      </w:pPr>
      <w:r>
        <w:t>Licence policy: permissive (MIT/Apache-2.0/BSD) allowed; copyleft (GPL/AGPL) only with approval; keep an SBOM; automated dependency and licence scanning in CI; no copied code of unknown origin.</w:t>
      </w:r>
    </w:p>
    <w:p>
      <w:pPr>
        <w:pStyle w:val="ListBullet"/>
      </w:pPr>
      <w:r>
        <w:t>Vytalix's own repos: private by default; contribution agreement for any external contributor.</w:t>
      </w:r>
    </w:p>
    <w:p>
      <w:pPr>
        <w:pStyle w:val="Heading3"/>
      </w:pPr>
      <w:r>
        <w:t>8.5 Trade secrets and confidentiality</w:t>
      </w:r>
    </w:p>
    <w:p>
      <w:pPr>
        <w:pStyle w:val="ListBullet"/>
      </w:pPr>
      <w:r>
        <w:t>NDAs before sharing product detail; access controls; "confidential — draft" marking on decks; no proprietary detail in public posts beyond what is intended.</w:t>
      </w:r>
    </w:p>
    <w:p>
      <w:pPr>
        <w:pStyle w:val="Heading2"/>
      </w:pPr>
      <w:r>
        <w:t>9. Contracts and policy set</w:t>
      </w:r>
    </w:p>
    <w:p>
      <w:pPr>
        <w:pStyle w:val="Heading3"/>
      </w:pPr>
      <w:r>
        <w:t>9.1 Contract templates (all [SOLICITOR] before first use; ESTIMATE £2k–£4k for a starter set from a fixed-fee firm or a vetted template service)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Template</w:t>
            </w:r>
          </w:p>
        </w:tc>
        <w:tc>
          <w:tcPr>
            <w:tcW w:type="dxa" w:w="3216"/>
          </w:tcPr>
          <w:p>
            <w:r>
              <w:rPr>
                <w:b/>
                <w:sz w:val="17"/>
              </w:rPr>
            </w:r>
            <w:r>
              <w:rPr>
                <w:b/>
                <w:sz w:val="17"/>
              </w:rPr>
              <w:t>Use</w:t>
            </w:r>
          </w:p>
        </w:tc>
        <w:tc>
          <w:tcPr>
            <w:tcW w:type="dxa" w:w="3216"/>
          </w:tcPr>
          <w:p>
            <w:r>
              <w:rPr>
                <w:b/>
                <w:sz w:val="17"/>
              </w:rPr>
            </w:r>
            <w:r>
              <w:rPr>
                <w:b/>
                <w:sz w:val="17"/>
              </w:rPr>
              <w:t>Key Vytalix positions (PROPOSED)</w:t>
            </w:r>
          </w:p>
        </w:tc>
      </w:tr>
      <w:tr>
        <w:tc>
          <w:tcPr>
            <w:tcW w:type="dxa" w:w="3216"/>
          </w:tcPr>
          <w:p>
            <w:r>
              <w:rPr>
                <w:b w:val="0"/>
                <w:sz w:val="17"/>
              </w:rPr>
            </w:r>
            <w:r>
              <w:rPr>
                <w:b w:val="0"/>
                <w:sz w:val="17"/>
              </w:rPr>
              <w:t>Master Services Agreement (MSA)</w:t>
            </w:r>
          </w:p>
        </w:tc>
        <w:tc>
          <w:tcPr>
            <w:tcW w:type="dxa" w:w="3216"/>
          </w:tcPr>
          <w:p>
            <w:r>
              <w:rPr>
                <w:b w:val="0"/>
                <w:sz w:val="17"/>
              </w:rPr>
            </w:r>
            <w:r>
              <w:rPr>
                <w:b w:val="0"/>
                <w:sz w:val="17"/>
              </w:rPr>
              <w:t>Every consulting client</w:t>
            </w:r>
          </w:p>
        </w:tc>
        <w:tc>
          <w:tcPr>
            <w:tcW w:type="dxa" w:w="3216"/>
          </w:tcPr>
          <w:p>
            <w:r>
              <w:rPr>
                <w:b w:val="0"/>
                <w:sz w:val="17"/>
              </w:rPr>
            </w:r>
            <w:r>
              <w:rPr>
                <w:b w:val="0"/>
                <w:sz w:val="17"/>
              </w:rPr>
              <w:t xml:space="preserve">See </w:t>
            </w:r>
            <w:r>
              <w:rPr>
                <w:rFonts w:ascii="Consolas" w:hAnsi="Consolas"/>
                <w:b w:val="0"/>
                <w:sz w:val="17"/>
              </w:rPr>
              <w:t>/docs/13_SALES_ENGINE.md</w:t>
            </w:r>
            <w:r>
              <w:rPr>
                <w:b w:val="0"/>
                <w:sz w:val="17"/>
              </w:rPr>
              <w:t xml:space="preserve"> §9: fees, IP (Vytalix retains methods; client owns deliverables on payment), liability cap = fees paid in 12 months, mutual confidentiality, no patient data unless DPA, E&amp;W law, publicity only with consent</w:t>
            </w:r>
          </w:p>
        </w:tc>
      </w:tr>
      <w:tr>
        <w:tc>
          <w:tcPr>
            <w:tcW w:type="dxa" w:w="3216"/>
          </w:tcPr>
          <w:p>
            <w:r>
              <w:rPr>
                <w:b w:val="0"/>
                <w:sz w:val="17"/>
              </w:rPr>
            </w:r>
            <w:r>
              <w:rPr>
                <w:b w:val="0"/>
                <w:sz w:val="17"/>
              </w:rPr>
              <w:t>Statement of Work (SOW)</w:t>
            </w:r>
          </w:p>
        </w:tc>
        <w:tc>
          <w:tcPr>
            <w:tcW w:type="dxa" w:w="3216"/>
          </w:tcPr>
          <w:p>
            <w:r>
              <w:rPr>
                <w:b w:val="0"/>
                <w:sz w:val="17"/>
              </w:rPr>
            </w:r>
            <w:r>
              <w:rPr>
                <w:b w:val="0"/>
                <w:sz w:val="17"/>
              </w:rPr>
              <w:t>Per engagement</w:t>
            </w:r>
          </w:p>
        </w:tc>
        <w:tc>
          <w:tcPr>
            <w:tcW w:type="dxa" w:w="3216"/>
          </w:tcPr>
          <w:p>
            <w:r>
              <w:rPr>
                <w:b w:val="0"/>
                <w:sz w:val="17"/>
              </w:rPr>
            </w:r>
            <w:r>
              <w:rPr>
                <w:b w:val="0"/>
                <w:sz w:val="17"/>
              </w:rPr>
              <w:t>Scope, deliverables, acceptance, milestones, change control, dependencies</w:t>
            </w:r>
          </w:p>
        </w:tc>
      </w:tr>
      <w:tr>
        <w:tc>
          <w:tcPr>
            <w:tcW w:type="dxa" w:w="3216"/>
          </w:tcPr>
          <w:p>
            <w:r>
              <w:rPr>
                <w:b w:val="0"/>
                <w:sz w:val="17"/>
              </w:rPr>
            </w:r>
            <w:r>
              <w:rPr>
                <w:b w:val="0"/>
                <w:sz w:val="17"/>
              </w:rPr>
              <w:t>Mutual NDA</w:t>
            </w:r>
          </w:p>
        </w:tc>
        <w:tc>
          <w:tcPr>
            <w:tcW w:type="dxa" w:w="3216"/>
          </w:tcPr>
          <w:p>
            <w:r>
              <w:rPr>
                <w:b w:val="0"/>
                <w:sz w:val="17"/>
              </w:rPr>
            </w:r>
            <w:r>
              <w:rPr>
                <w:b w:val="0"/>
                <w:sz w:val="17"/>
              </w:rPr>
              <w:t>Pre-sales, partners, investors (many investors will not sign — do not insist)</w:t>
            </w:r>
          </w:p>
        </w:tc>
        <w:tc>
          <w:tcPr>
            <w:tcW w:type="dxa" w:w="3216"/>
          </w:tcPr>
          <w:p>
            <w:r>
              <w:rPr>
                <w:b w:val="0"/>
                <w:sz w:val="17"/>
              </w:rPr>
            </w:r>
            <w:r>
              <w:rPr>
                <w:b w:val="0"/>
                <w:sz w:val="17"/>
              </w:rPr>
              <w:t>2–3 years; carve-outs; no non-compete</w:t>
            </w:r>
          </w:p>
        </w:tc>
      </w:tr>
      <w:tr>
        <w:tc>
          <w:tcPr>
            <w:tcW w:type="dxa" w:w="3216"/>
          </w:tcPr>
          <w:p>
            <w:r>
              <w:rPr>
                <w:b w:val="0"/>
                <w:sz w:val="17"/>
              </w:rPr>
            </w:r>
            <w:r>
              <w:rPr>
                <w:b w:val="0"/>
                <w:sz w:val="17"/>
              </w:rPr>
              <w:t>Consultancy/associate agreement</w:t>
            </w:r>
          </w:p>
        </w:tc>
        <w:tc>
          <w:tcPr>
            <w:tcW w:type="dxa" w:w="3216"/>
          </w:tcPr>
          <w:p>
            <w:r>
              <w:rPr>
                <w:b w:val="0"/>
                <w:sz w:val="17"/>
              </w:rPr>
            </w:r>
            <w:r>
              <w:rPr>
                <w:b w:val="0"/>
                <w:sz w:val="17"/>
              </w:rPr>
              <w:t>Associates delivering client work</w:t>
            </w:r>
          </w:p>
        </w:tc>
        <w:tc>
          <w:tcPr>
            <w:tcW w:type="dxa" w:w="3216"/>
          </w:tcPr>
          <w:p>
            <w:r>
              <w:rPr>
                <w:b w:val="0"/>
                <w:sz w:val="17"/>
              </w:rPr>
            </w:r>
            <w:r>
              <w:rPr>
                <w:b w:val="0"/>
                <w:sz w:val="17"/>
              </w:rPr>
              <w:t>IR35 status determination (client-side rules for medium/large clients; TO VALIDATE) [ACCOUNTANT]; IP assignment; confidentiality; no client solicitation</w:t>
            </w:r>
          </w:p>
        </w:tc>
      </w:tr>
      <w:tr>
        <w:tc>
          <w:tcPr>
            <w:tcW w:type="dxa" w:w="3216"/>
          </w:tcPr>
          <w:p>
            <w:r>
              <w:rPr>
                <w:b w:val="0"/>
                <w:sz w:val="17"/>
              </w:rPr>
            </w:r>
            <w:r>
              <w:rPr>
                <w:b w:val="0"/>
                <w:sz w:val="17"/>
              </w:rPr>
              <w:t>Contractor / developer agreement</w:t>
            </w:r>
          </w:p>
        </w:tc>
        <w:tc>
          <w:tcPr>
            <w:tcW w:type="dxa" w:w="3216"/>
          </w:tcPr>
          <w:p>
            <w:r>
              <w:rPr>
                <w:b w:val="0"/>
                <w:sz w:val="17"/>
              </w:rPr>
            </w:r>
            <w:r>
              <w:rPr>
                <w:b w:val="0"/>
                <w:sz w:val="17"/>
              </w:rPr>
              <w:t>Any code or design</w:t>
            </w:r>
          </w:p>
        </w:tc>
        <w:tc>
          <w:tcPr>
            <w:tcW w:type="dxa" w:w="3216"/>
          </w:tcPr>
          <w:p>
            <w:r>
              <w:rPr>
                <w:b w:val="0"/>
                <w:sz w:val="17"/>
              </w:rPr>
            </w:r>
            <w:r>
              <w:rPr>
                <w:b w:val="0"/>
                <w:sz w:val="17"/>
              </w:rPr>
              <w:t>Present IP assignment; moral-rights waiver; open-source policy; security obligations; data-protection clause</w:t>
            </w:r>
          </w:p>
        </w:tc>
      </w:tr>
      <w:tr>
        <w:tc>
          <w:tcPr>
            <w:tcW w:type="dxa" w:w="3216"/>
          </w:tcPr>
          <w:p>
            <w:r>
              <w:rPr>
                <w:b w:val="0"/>
                <w:sz w:val="17"/>
              </w:rPr>
            </w:r>
            <w:r>
              <w:rPr>
                <w:b w:val="0"/>
                <w:sz w:val="17"/>
              </w:rPr>
              <w:t>Advisory board letter</w:t>
            </w:r>
          </w:p>
        </w:tc>
        <w:tc>
          <w:tcPr>
            <w:tcW w:type="dxa" w:w="3216"/>
          </w:tcPr>
          <w:p>
            <w:r>
              <w:rPr>
                <w:b w:val="0"/>
                <w:sz w:val="17"/>
              </w:rPr>
            </w:r>
            <w:r>
              <w:rPr>
                <w:b w:val="0"/>
                <w:sz w:val="17"/>
              </w:rPr>
              <w:t>Advisers</w:t>
            </w:r>
          </w:p>
        </w:tc>
        <w:tc>
          <w:tcPr>
            <w:tcW w:type="dxa" w:w="3216"/>
          </w:tcPr>
          <w:p>
            <w:r>
              <w:rPr>
                <w:b w:val="0"/>
                <w:sz w:val="17"/>
              </w:rPr>
            </w:r>
            <w:r>
              <w:rPr>
                <w:b w:val="0"/>
                <w:sz w:val="17"/>
              </w:rPr>
              <w:t>Role, time (e.g. 2 hours/month), expenses, confidentiality, conflicts, optional equity (advisory shares with vesting — TO VALIDATE EMI/unapproved option treatment) [ACCOUNTANT]</w:t>
            </w:r>
          </w:p>
        </w:tc>
      </w:tr>
      <w:tr>
        <w:tc>
          <w:tcPr>
            <w:tcW w:type="dxa" w:w="3216"/>
          </w:tcPr>
          <w:p>
            <w:r>
              <w:rPr>
                <w:b w:val="0"/>
                <w:sz w:val="17"/>
              </w:rPr>
            </w:r>
            <w:r>
              <w:rPr>
                <w:b w:val="0"/>
                <w:sz w:val="17"/>
              </w:rPr>
              <w:t>Data Processing Agreement (Art. 28)</w:t>
            </w:r>
          </w:p>
        </w:tc>
        <w:tc>
          <w:tcPr>
            <w:tcW w:type="dxa" w:w="3216"/>
          </w:tcPr>
          <w:p>
            <w:r>
              <w:rPr>
                <w:b w:val="0"/>
                <w:sz w:val="17"/>
              </w:rPr>
            </w:r>
            <w:r>
              <w:rPr>
                <w:b w:val="0"/>
                <w:sz w:val="17"/>
              </w:rPr>
              <w:t>Any personal data processed for a client or by a vendor</w:t>
            </w:r>
          </w:p>
        </w:tc>
        <w:tc>
          <w:tcPr>
            <w:tcW w:type="dxa" w:w="3216"/>
          </w:tcPr>
          <w:p>
            <w:r>
              <w:rPr>
                <w:b w:val="0"/>
                <w:sz w:val="17"/>
              </w:rPr>
            </w:r>
            <w:r>
              <w:rPr>
                <w:b w:val="0"/>
                <w:sz w:val="17"/>
              </w:rPr>
              <w:t>Subject matter, duration, instructions, sub-processors, security, deletion, audit</w:t>
            </w:r>
          </w:p>
        </w:tc>
      </w:tr>
      <w:tr>
        <w:tc>
          <w:tcPr>
            <w:tcW w:type="dxa" w:w="3216"/>
          </w:tcPr>
          <w:p>
            <w:r>
              <w:rPr>
                <w:b w:val="0"/>
                <w:sz w:val="17"/>
              </w:rPr>
            </w:r>
            <w:r>
              <w:rPr>
                <w:b w:val="0"/>
                <w:sz w:val="17"/>
              </w:rPr>
              <w:t>Pilot / evaluation agreement (MaternaLink)</w:t>
            </w:r>
          </w:p>
        </w:tc>
        <w:tc>
          <w:tcPr>
            <w:tcW w:type="dxa" w:w="3216"/>
          </w:tcPr>
          <w:p>
            <w:r>
              <w:rPr>
                <w:b w:val="0"/>
                <w:sz w:val="17"/>
              </w:rPr>
            </w:r>
            <w:r>
              <w:rPr>
                <w:b w:val="0"/>
                <w:sz w:val="17"/>
              </w:rPr>
              <w:t>Design partners</w:t>
            </w:r>
          </w:p>
        </w:tc>
        <w:tc>
          <w:tcPr>
            <w:tcW w:type="dxa" w:w="3216"/>
          </w:tcPr>
          <w:p>
            <w:r>
              <w:rPr>
                <w:b w:val="0"/>
                <w:sz w:val="17"/>
              </w:rPr>
            </w:r>
            <w:r>
              <w:rPr>
                <w:b w:val="0"/>
                <w:sz w:val="17"/>
              </w:rPr>
              <w:t>Free or cost-recovery pilot; no clinical claims; DPIA and DPA annexed; CSO named on both sides; data ownership; publication rights; termination for safety</w:t>
            </w:r>
          </w:p>
        </w:tc>
      </w:tr>
      <w:tr>
        <w:tc>
          <w:tcPr>
            <w:tcW w:type="dxa" w:w="3216"/>
          </w:tcPr>
          <w:p>
            <w:r>
              <w:rPr>
                <w:b w:val="0"/>
                <w:sz w:val="17"/>
              </w:rPr>
            </w:r>
            <w:r>
              <w:rPr>
                <w:b w:val="0"/>
                <w:sz w:val="17"/>
              </w:rPr>
              <w:t>Letter of intent / MoU</w:t>
            </w:r>
          </w:p>
        </w:tc>
        <w:tc>
          <w:tcPr>
            <w:tcW w:type="dxa" w:w="3216"/>
          </w:tcPr>
          <w:p>
            <w:r>
              <w:rPr>
                <w:b w:val="0"/>
                <w:sz w:val="17"/>
              </w:rPr>
            </w:r>
            <w:r>
              <w:rPr>
                <w:b w:val="0"/>
                <w:sz w:val="17"/>
              </w:rPr>
              <w:t>Partners, ministries, NGOs</w:t>
            </w:r>
          </w:p>
        </w:tc>
        <w:tc>
          <w:tcPr>
            <w:tcW w:type="dxa" w:w="3216"/>
          </w:tcPr>
          <w:p>
            <w:r>
              <w:rPr>
                <w:b w:val="0"/>
                <w:sz w:val="17"/>
              </w:rPr>
            </w:r>
            <w:r>
              <w:rPr>
                <w:b w:val="0"/>
                <w:sz w:val="17"/>
              </w:rPr>
              <w:t>Non-binding except confidentiality; no exclusivity; no financial commitment</w:t>
            </w:r>
          </w:p>
        </w:tc>
      </w:tr>
      <w:tr>
        <w:tc>
          <w:tcPr>
            <w:tcW w:type="dxa" w:w="3216"/>
          </w:tcPr>
          <w:p>
            <w:r>
              <w:rPr>
                <w:b w:val="0"/>
                <w:sz w:val="17"/>
              </w:rPr>
            </w:r>
            <w:r>
              <w:rPr>
                <w:b w:val="0"/>
                <w:sz w:val="17"/>
              </w:rPr>
              <w:t>Heads of terms — IP (David Agunede)</w:t>
            </w:r>
          </w:p>
        </w:tc>
        <w:tc>
          <w:tcPr>
            <w:tcW w:type="dxa" w:w="3216"/>
          </w:tcPr>
          <w:p>
            <w:r>
              <w:rPr>
                <w:b w:val="0"/>
                <w:sz w:val="17"/>
              </w:rPr>
            </w:r>
            <w:r>
              <w:rPr>
                <w:b w:val="0"/>
                <w:sz w:val="17"/>
              </w:rPr>
              <w:t>§8.3</w:t>
            </w:r>
          </w:p>
        </w:tc>
        <w:tc>
          <w:tcPr>
            <w:tcW w:type="dxa" w:w="3216"/>
          </w:tcPr>
          <w:p>
            <w:r>
              <w:rPr>
                <w:b w:val="0"/>
                <w:sz w:val="17"/>
              </w:rPr>
            </w:r>
            <w:r>
              <w:rPr>
                <w:b w:val="0"/>
                <w:sz w:val="17"/>
              </w:rPr>
              <w:t>Non-binding except confidentiality and exclusivity of negotiation (30 days)</w:t>
            </w:r>
          </w:p>
        </w:tc>
      </w:tr>
      <w:tr>
        <w:tc>
          <w:tcPr>
            <w:tcW w:type="dxa" w:w="3216"/>
          </w:tcPr>
          <w:p>
            <w:r>
              <w:rPr>
                <w:b w:val="0"/>
                <w:sz w:val="17"/>
              </w:rPr>
            </w:r>
            <w:r>
              <w:rPr>
                <w:b w:val="0"/>
                <w:sz w:val="17"/>
              </w:rPr>
              <w:t>Website terms, privacy notice, cookie notice, acceptable-use policy</w:t>
            </w:r>
          </w:p>
        </w:tc>
        <w:tc>
          <w:tcPr>
            <w:tcW w:type="dxa" w:w="3216"/>
          </w:tcPr>
          <w:p>
            <w:r>
              <w:rPr>
                <w:b w:val="0"/>
                <w:sz w:val="17"/>
              </w:rPr>
            </w:r>
            <w:r>
              <w:rPr>
                <w:b w:val="0"/>
                <w:sz w:val="17"/>
              </w:rPr>
              <w:t>Website, newsletter</w:t>
            </w:r>
          </w:p>
        </w:tc>
        <w:tc>
          <w:tcPr>
            <w:tcW w:type="dxa" w:w="3216"/>
          </w:tcPr>
          <w:p>
            <w:r>
              <w:rPr>
                <w:b w:val="0"/>
                <w:sz w:val="17"/>
              </w:rPr>
            </w:r>
            <w:r>
              <w:rPr>
                <w:b w:val="0"/>
                <w:sz w:val="17"/>
              </w:rPr>
              <w:t>§10</w:t>
            </w:r>
          </w:p>
        </w:tc>
      </w:tr>
      <w:tr>
        <w:tc>
          <w:tcPr>
            <w:tcW w:type="dxa" w:w="3216"/>
          </w:tcPr>
          <w:p>
            <w:r>
              <w:rPr>
                <w:b w:val="0"/>
                <w:sz w:val="17"/>
              </w:rPr>
            </w:r>
            <w:r>
              <w:rPr>
                <w:b w:val="0"/>
                <w:sz w:val="17"/>
              </w:rPr>
              <w:t>E-Learning terms of sale</w:t>
            </w:r>
          </w:p>
        </w:tc>
        <w:tc>
          <w:tcPr>
            <w:tcW w:type="dxa" w:w="3216"/>
          </w:tcPr>
          <w:p>
            <w:r>
              <w:rPr>
                <w:b w:val="0"/>
                <w:sz w:val="17"/>
              </w:rPr>
            </w:r>
            <w:r>
              <w:rPr>
                <w:b w:val="0"/>
                <w:sz w:val="17"/>
              </w:rPr>
              <w:t>B2C/B2B courses</w:t>
            </w:r>
          </w:p>
        </w:tc>
        <w:tc>
          <w:tcPr>
            <w:tcW w:type="dxa" w:w="3216"/>
          </w:tcPr>
          <w:p>
            <w:r>
              <w:rPr>
                <w:b w:val="0"/>
                <w:sz w:val="17"/>
              </w:rPr>
            </w:r>
            <w:r>
              <w:rPr>
                <w:b w:val="0"/>
                <w:sz w:val="17"/>
              </w:rPr>
              <w:t>Consumer cancellation rights (14 days unless waived for immediate digital access), refund policy, no accreditation claims</w:t>
            </w:r>
          </w:p>
        </w:tc>
      </w:tr>
      <w:tr>
        <w:tc>
          <w:tcPr>
            <w:tcW w:type="dxa" w:w="3216"/>
          </w:tcPr>
          <w:p>
            <w:r>
              <w:rPr>
                <w:b w:val="0"/>
                <w:sz w:val="17"/>
              </w:rPr>
            </w:r>
            <w:r>
              <w:rPr>
                <w:b w:val="0"/>
                <w:sz w:val="17"/>
              </w:rPr>
              <w:t>Employment contract + staff handbook</w:t>
            </w:r>
          </w:p>
        </w:tc>
        <w:tc>
          <w:tcPr>
            <w:tcW w:type="dxa" w:w="3216"/>
          </w:tcPr>
          <w:p>
            <w:r>
              <w:rPr>
                <w:b w:val="0"/>
                <w:sz w:val="17"/>
              </w:rPr>
            </w:r>
            <w:r>
              <w:rPr>
                <w:b w:val="0"/>
                <w:sz w:val="17"/>
              </w:rPr>
              <w:t>First hire</w:t>
            </w:r>
          </w:p>
        </w:tc>
        <w:tc>
          <w:tcPr>
            <w:tcW w:type="dxa" w:w="3216"/>
          </w:tcPr>
          <w:p>
            <w:r>
              <w:rPr>
                <w:b w:val="0"/>
                <w:sz w:val="17"/>
              </w:rPr>
            </w:r>
            <w:r>
              <w:rPr>
                <w:b w:val="0"/>
                <w:sz w:val="17"/>
              </w:rPr>
              <w:t>Statutory minimum plus IP, confidentiality, data protection; pensions auto-enrolment [ACCOUNTANT]</w:t>
            </w:r>
          </w:p>
        </w:tc>
      </w:tr>
    </w:tbl>
    <w:p/>
    <w:p>
      <w:pPr>
        <w:pStyle w:val="Heading3"/>
      </w:pPr>
      <w:r>
        <w:t>9.2 Information-security and governance policy set (adopt at first board meeting; review annually)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Policy</w:t>
            </w:r>
          </w:p>
        </w:tc>
        <w:tc>
          <w:tcPr>
            <w:tcW w:type="dxa" w:w="2412"/>
          </w:tcPr>
          <w:p>
            <w:r>
              <w:rPr>
                <w:b/>
                <w:sz w:val="17"/>
              </w:rPr>
            </w:r>
            <w:r>
              <w:rPr>
                <w:b/>
                <w:sz w:val="17"/>
              </w:rPr>
              <w:t>Minimum content</w:t>
            </w:r>
          </w:p>
        </w:tc>
        <w:tc>
          <w:tcPr>
            <w:tcW w:type="dxa" w:w="2412"/>
          </w:tcPr>
          <w:p>
            <w:r>
              <w:rPr>
                <w:b/>
                <w:sz w:val="17"/>
              </w:rPr>
            </w:r>
            <w:r>
              <w:rPr>
                <w:b/>
                <w:sz w:val="17"/>
              </w:rPr>
              <w:t>Status</w:t>
            </w:r>
          </w:p>
        </w:tc>
      </w:tr>
      <w:tr>
        <w:tc>
          <w:tcPr>
            <w:tcW w:type="dxa" w:w="2412"/>
          </w:tcPr>
          <w:p>
            <w:r>
              <w:rPr>
                <w:b w:val="0"/>
                <w:sz w:val="17"/>
              </w:rPr>
            </w:r>
            <w:r>
              <w:rPr>
                <w:b w:val="0"/>
                <w:sz w:val="17"/>
              </w:rPr>
              <w:t>1</w:t>
            </w:r>
          </w:p>
        </w:tc>
        <w:tc>
          <w:tcPr>
            <w:tcW w:type="dxa" w:w="2412"/>
          </w:tcPr>
          <w:p>
            <w:r>
              <w:rPr>
                <w:b w:val="0"/>
                <w:sz w:val="17"/>
              </w:rPr>
            </w:r>
            <w:r>
              <w:rPr>
                <w:b w:val="0"/>
                <w:sz w:val="17"/>
              </w:rPr>
              <w:t>Information security policy</w:t>
            </w:r>
          </w:p>
        </w:tc>
        <w:tc>
          <w:tcPr>
            <w:tcW w:type="dxa" w:w="2412"/>
          </w:tcPr>
          <w:p>
            <w:r>
              <w:rPr>
                <w:b w:val="0"/>
                <w:sz w:val="17"/>
              </w:rPr>
            </w:r>
            <w:r>
              <w:rPr>
                <w:b w:val="0"/>
                <w:sz w:val="17"/>
              </w:rPr>
              <w:t>Scope, roles, risk approach, acceptable use, incident reporting</w:t>
            </w:r>
          </w:p>
        </w:tc>
        <w:tc>
          <w:tcPr>
            <w:tcW w:type="dxa" w:w="2412"/>
          </w:tcPr>
          <w:p>
            <w:r>
              <w:rPr>
                <w:b w:val="0"/>
                <w:sz w:val="17"/>
              </w:rPr>
            </w:r>
            <w:r>
              <w:rPr>
                <w:b w:val="0"/>
                <w:sz w:val="17"/>
              </w:rPr>
              <w:t>P0 (Day 30)</w:t>
            </w:r>
          </w:p>
        </w:tc>
      </w:tr>
      <w:tr>
        <w:tc>
          <w:tcPr>
            <w:tcW w:type="dxa" w:w="2412"/>
          </w:tcPr>
          <w:p>
            <w:r>
              <w:rPr>
                <w:b w:val="0"/>
                <w:sz w:val="17"/>
              </w:rPr>
            </w:r>
            <w:r>
              <w:rPr>
                <w:b w:val="0"/>
                <w:sz w:val="17"/>
              </w:rPr>
              <w:t>2</w:t>
            </w:r>
          </w:p>
        </w:tc>
        <w:tc>
          <w:tcPr>
            <w:tcW w:type="dxa" w:w="2412"/>
          </w:tcPr>
          <w:p>
            <w:r>
              <w:rPr>
                <w:b w:val="0"/>
                <w:sz w:val="17"/>
              </w:rPr>
            </w:r>
            <w:r>
              <w:rPr>
                <w:b w:val="0"/>
                <w:sz w:val="17"/>
              </w:rPr>
              <w:t>Access control and identity</w:t>
            </w:r>
          </w:p>
        </w:tc>
        <w:tc>
          <w:tcPr>
            <w:tcW w:type="dxa" w:w="2412"/>
          </w:tcPr>
          <w:p>
            <w:r>
              <w:rPr>
                <w:b w:val="0"/>
                <w:sz w:val="17"/>
              </w:rPr>
            </w:r>
            <w:r>
              <w:rPr>
                <w:b w:val="0"/>
                <w:sz w:val="17"/>
              </w:rPr>
              <w:t>MFA everywhere, least privilege, joiner/mover/leaver, password manager</w:t>
            </w:r>
          </w:p>
        </w:tc>
        <w:tc>
          <w:tcPr>
            <w:tcW w:type="dxa" w:w="2412"/>
          </w:tcPr>
          <w:p>
            <w:r>
              <w:rPr>
                <w:b w:val="0"/>
                <w:sz w:val="17"/>
              </w:rPr>
            </w:r>
            <w:r>
              <w:rPr>
                <w:b w:val="0"/>
                <w:sz w:val="17"/>
              </w:rPr>
              <w:t>P0</w:t>
            </w:r>
          </w:p>
        </w:tc>
      </w:tr>
      <w:tr>
        <w:tc>
          <w:tcPr>
            <w:tcW w:type="dxa" w:w="2412"/>
          </w:tcPr>
          <w:p>
            <w:r>
              <w:rPr>
                <w:b w:val="0"/>
                <w:sz w:val="17"/>
              </w:rPr>
            </w:r>
            <w:r>
              <w:rPr>
                <w:b w:val="0"/>
                <w:sz w:val="17"/>
              </w:rPr>
              <w:t>3</w:t>
            </w:r>
          </w:p>
        </w:tc>
        <w:tc>
          <w:tcPr>
            <w:tcW w:type="dxa" w:w="2412"/>
          </w:tcPr>
          <w:p>
            <w:r>
              <w:rPr>
                <w:b w:val="0"/>
                <w:sz w:val="17"/>
              </w:rPr>
            </w:r>
            <w:r>
              <w:rPr>
                <w:b w:val="0"/>
                <w:sz w:val="17"/>
              </w:rPr>
              <w:t>Device and endpoint</w:t>
            </w:r>
          </w:p>
        </w:tc>
        <w:tc>
          <w:tcPr>
            <w:tcW w:type="dxa" w:w="2412"/>
          </w:tcPr>
          <w:p>
            <w:r>
              <w:rPr>
                <w:b w:val="0"/>
                <w:sz w:val="17"/>
              </w:rPr>
            </w:r>
            <w:r>
              <w:rPr>
                <w:b w:val="0"/>
                <w:sz w:val="17"/>
              </w:rPr>
              <w:t>Encryption, auto-updates, screen lock, no personal devices for patient data</w:t>
            </w:r>
          </w:p>
        </w:tc>
        <w:tc>
          <w:tcPr>
            <w:tcW w:type="dxa" w:w="2412"/>
          </w:tcPr>
          <w:p>
            <w:r>
              <w:rPr>
                <w:b w:val="0"/>
                <w:sz w:val="17"/>
              </w:rPr>
            </w:r>
            <w:r>
              <w:rPr>
                <w:b w:val="0"/>
                <w:sz w:val="17"/>
              </w:rPr>
              <w:t>P0</w:t>
            </w:r>
          </w:p>
        </w:tc>
      </w:tr>
      <w:tr>
        <w:tc>
          <w:tcPr>
            <w:tcW w:type="dxa" w:w="2412"/>
          </w:tcPr>
          <w:p>
            <w:r>
              <w:rPr>
                <w:b w:val="0"/>
                <w:sz w:val="17"/>
              </w:rPr>
            </w:r>
            <w:r>
              <w:rPr>
                <w:b w:val="0"/>
                <w:sz w:val="17"/>
              </w:rPr>
              <w:t>4</w:t>
            </w:r>
          </w:p>
        </w:tc>
        <w:tc>
          <w:tcPr>
            <w:tcW w:type="dxa" w:w="2412"/>
          </w:tcPr>
          <w:p>
            <w:r>
              <w:rPr>
                <w:b w:val="0"/>
                <w:sz w:val="17"/>
              </w:rPr>
            </w:r>
            <w:r>
              <w:rPr>
                <w:b w:val="0"/>
                <w:sz w:val="17"/>
              </w:rPr>
              <w:t>Data classification and handling</w:t>
            </w:r>
          </w:p>
        </w:tc>
        <w:tc>
          <w:tcPr>
            <w:tcW w:type="dxa" w:w="2412"/>
          </w:tcPr>
          <w:p>
            <w:r>
              <w:rPr>
                <w:b w:val="0"/>
                <w:sz w:val="17"/>
              </w:rPr>
            </w:r>
            <w:r>
              <w:rPr>
                <w:b w:val="0"/>
                <w:sz w:val="17"/>
              </w:rPr>
              <w:t>Public / internal / confidential / special-category; storage locations; encryption</w:t>
            </w:r>
          </w:p>
        </w:tc>
        <w:tc>
          <w:tcPr>
            <w:tcW w:type="dxa" w:w="2412"/>
          </w:tcPr>
          <w:p>
            <w:r>
              <w:rPr>
                <w:b w:val="0"/>
                <w:sz w:val="17"/>
              </w:rPr>
            </w:r>
            <w:r>
              <w:rPr>
                <w:b w:val="0"/>
                <w:sz w:val="17"/>
              </w:rPr>
              <w:t>P0</w:t>
            </w:r>
          </w:p>
        </w:tc>
      </w:tr>
      <w:tr>
        <w:tc>
          <w:tcPr>
            <w:tcW w:type="dxa" w:w="2412"/>
          </w:tcPr>
          <w:p>
            <w:r>
              <w:rPr>
                <w:b w:val="0"/>
                <w:sz w:val="17"/>
              </w:rPr>
            </w:r>
            <w:r>
              <w:rPr>
                <w:b w:val="0"/>
                <w:sz w:val="17"/>
              </w:rPr>
              <w:t>5</w:t>
            </w:r>
          </w:p>
        </w:tc>
        <w:tc>
          <w:tcPr>
            <w:tcW w:type="dxa" w:w="2412"/>
          </w:tcPr>
          <w:p>
            <w:r>
              <w:rPr>
                <w:b w:val="0"/>
                <w:sz w:val="17"/>
              </w:rPr>
            </w:r>
            <w:r>
              <w:rPr>
                <w:b w:val="0"/>
                <w:sz w:val="17"/>
              </w:rPr>
              <w:t>Backup and business continuity</w:t>
            </w:r>
          </w:p>
        </w:tc>
        <w:tc>
          <w:tcPr>
            <w:tcW w:type="dxa" w:w="2412"/>
          </w:tcPr>
          <w:p>
            <w:r>
              <w:rPr>
                <w:b w:val="0"/>
                <w:sz w:val="17"/>
              </w:rPr>
            </w:r>
            <w:r>
              <w:rPr>
                <w:b w:val="0"/>
                <w:sz w:val="17"/>
              </w:rPr>
              <w:t>RPO/RTO targets; tested restores; offline-first sync rules for MaternaLink</w:t>
            </w:r>
          </w:p>
        </w:tc>
        <w:tc>
          <w:tcPr>
            <w:tcW w:type="dxa" w:w="2412"/>
          </w:tcPr>
          <w:p>
            <w:r>
              <w:rPr>
                <w:b w:val="0"/>
                <w:sz w:val="17"/>
              </w:rPr>
            </w:r>
            <w:r>
              <w:rPr>
                <w:b w:val="0"/>
                <w:sz w:val="17"/>
              </w:rPr>
              <w:t>P1 (Day 60)</w:t>
            </w:r>
          </w:p>
        </w:tc>
      </w:tr>
      <w:tr>
        <w:tc>
          <w:tcPr>
            <w:tcW w:type="dxa" w:w="2412"/>
          </w:tcPr>
          <w:p>
            <w:r>
              <w:rPr>
                <w:b w:val="0"/>
                <w:sz w:val="17"/>
              </w:rPr>
            </w:r>
            <w:r>
              <w:rPr>
                <w:b w:val="0"/>
                <w:sz w:val="17"/>
              </w:rPr>
              <w:t>6</w:t>
            </w:r>
          </w:p>
        </w:tc>
        <w:tc>
          <w:tcPr>
            <w:tcW w:type="dxa" w:w="2412"/>
          </w:tcPr>
          <w:p>
            <w:r>
              <w:rPr>
                <w:b w:val="0"/>
                <w:sz w:val="17"/>
              </w:rPr>
            </w:r>
            <w:r>
              <w:rPr>
                <w:b w:val="0"/>
                <w:sz w:val="17"/>
              </w:rPr>
              <w:t>Incident response and breach notification</w:t>
            </w:r>
          </w:p>
        </w:tc>
        <w:tc>
          <w:tcPr>
            <w:tcW w:type="dxa" w:w="2412"/>
          </w:tcPr>
          <w:p>
            <w:r>
              <w:rPr>
                <w:b w:val="0"/>
                <w:sz w:val="17"/>
              </w:rPr>
            </w:r>
            <w:r>
              <w:rPr>
                <w:b w:val="0"/>
                <w:sz w:val="17"/>
              </w:rPr>
              <w:t>72-hour ICO rule; client notification; NDPC notification (72 hours, TO VALIDATE)</w:t>
            </w:r>
          </w:p>
        </w:tc>
        <w:tc>
          <w:tcPr>
            <w:tcW w:type="dxa" w:w="2412"/>
          </w:tcPr>
          <w:p>
            <w:r>
              <w:rPr>
                <w:b w:val="0"/>
                <w:sz w:val="17"/>
              </w:rPr>
            </w:r>
            <w:r>
              <w:rPr>
                <w:b w:val="0"/>
                <w:sz w:val="17"/>
              </w:rPr>
              <w:t>P0</w:t>
            </w:r>
          </w:p>
        </w:tc>
      </w:tr>
      <w:tr>
        <w:tc>
          <w:tcPr>
            <w:tcW w:type="dxa" w:w="2412"/>
          </w:tcPr>
          <w:p>
            <w:r>
              <w:rPr>
                <w:b w:val="0"/>
                <w:sz w:val="17"/>
              </w:rPr>
            </w:r>
            <w:r>
              <w:rPr>
                <w:b w:val="0"/>
                <w:sz w:val="17"/>
              </w:rPr>
              <w:t>7</w:t>
            </w:r>
          </w:p>
        </w:tc>
        <w:tc>
          <w:tcPr>
            <w:tcW w:type="dxa" w:w="2412"/>
          </w:tcPr>
          <w:p>
            <w:r>
              <w:rPr>
                <w:b w:val="0"/>
                <w:sz w:val="17"/>
              </w:rPr>
            </w:r>
            <w:r>
              <w:rPr>
                <w:b w:val="0"/>
                <w:sz w:val="17"/>
              </w:rPr>
              <w:t>Secure development lifecycle</w:t>
            </w:r>
          </w:p>
        </w:tc>
        <w:tc>
          <w:tcPr>
            <w:tcW w:type="dxa" w:w="2412"/>
          </w:tcPr>
          <w:p>
            <w:r>
              <w:rPr>
                <w:b w:val="0"/>
                <w:sz w:val="17"/>
              </w:rPr>
            </w:r>
            <w:r>
              <w:rPr>
                <w:b w:val="0"/>
                <w:sz w:val="17"/>
              </w:rPr>
              <w:t>Code review, dependency scanning, secrets management, pen test before deployment, OWASP ASVS target</w:t>
            </w:r>
          </w:p>
        </w:tc>
        <w:tc>
          <w:tcPr>
            <w:tcW w:type="dxa" w:w="2412"/>
          </w:tcPr>
          <w:p>
            <w:r>
              <w:rPr>
                <w:b w:val="0"/>
                <w:sz w:val="17"/>
              </w:rPr>
            </w:r>
            <w:r>
              <w:rPr>
                <w:b w:val="0"/>
                <w:sz w:val="17"/>
              </w:rPr>
              <w:t>P1</w:t>
            </w:r>
          </w:p>
        </w:tc>
      </w:tr>
      <w:tr>
        <w:tc>
          <w:tcPr>
            <w:tcW w:type="dxa" w:w="2412"/>
          </w:tcPr>
          <w:p>
            <w:r>
              <w:rPr>
                <w:b w:val="0"/>
                <w:sz w:val="17"/>
              </w:rPr>
            </w:r>
            <w:r>
              <w:rPr>
                <w:b w:val="0"/>
                <w:sz w:val="17"/>
              </w:rPr>
              <w:t>8</w:t>
            </w:r>
          </w:p>
        </w:tc>
        <w:tc>
          <w:tcPr>
            <w:tcW w:type="dxa" w:w="2412"/>
          </w:tcPr>
          <w:p>
            <w:r>
              <w:rPr>
                <w:b w:val="0"/>
                <w:sz w:val="17"/>
              </w:rPr>
            </w:r>
            <w:r>
              <w:rPr>
                <w:b w:val="0"/>
                <w:sz w:val="17"/>
              </w:rPr>
              <w:t>Supplier / sub-processor management</w:t>
            </w:r>
          </w:p>
        </w:tc>
        <w:tc>
          <w:tcPr>
            <w:tcW w:type="dxa" w:w="2412"/>
          </w:tcPr>
          <w:p>
            <w:r>
              <w:rPr>
                <w:b w:val="0"/>
                <w:sz w:val="17"/>
              </w:rPr>
            </w:r>
            <w:r>
              <w:rPr>
                <w:b w:val="0"/>
                <w:sz w:val="17"/>
              </w:rPr>
              <w:t>Due diligence, DPAs, register, annual review</w:t>
            </w:r>
          </w:p>
        </w:tc>
        <w:tc>
          <w:tcPr>
            <w:tcW w:type="dxa" w:w="2412"/>
          </w:tcPr>
          <w:p>
            <w:r>
              <w:rPr>
                <w:b w:val="0"/>
                <w:sz w:val="17"/>
              </w:rPr>
            </w:r>
            <w:r>
              <w:rPr>
                <w:b w:val="0"/>
                <w:sz w:val="17"/>
              </w:rPr>
              <w:t>P1</w:t>
            </w:r>
          </w:p>
        </w:tc>
      </w:tr>
      <w:tr>
        <w:tc>
          <w:tcPr>
            <w:tcW w:type="dxa" w:w="2412"/>
          </w:tcPr>
          <w:p>
            <w:r>
              <w:rPr>
                <w:b w:val="0"/>
                <w:sz w:val="17"/>
              </w:rPr>
            </w:r>
            <w:r>
              <w:rPr>
                <w:b w:val="0"/>
                <w:sz w:val="17"/>
              </w:rPr>
              <w:t>9</w:t>
            </w:r>
          </w:p>
        </w:tc>
        <w:tc>
          <w:tcPr>
            <w:tcW w:type="dxa" w:w="2412"/>
          </w:tcPr>
          <w:p>
            <w:r>
              <w:rPr>
                <w:b w:val="0"/>
                <w:sz w:val="17"/>
              </w:rPr>
            </w:r>
            <w:r>
              <w:rPr>
                <w:b w:val="0"/>
                <w:sz w:val="17"/>
              </w:rPr>
              <w:t>Data protection policy + retention schedule</w:t>
            </w:r>
          </w:p>
        </w:tc>
        <w:tc>
          <w:tcPr>
            <w:tcW w:type="dxa" w:w="2412"/>
          </w:tcPr>
          <w:p>
            <w:r>
              <w:rPr>
                <w:b w:val="0"/>
                <w:sz w:val="17"/>
              </w:rPr>
            </w:r>
            <w:r>
              <w:rPr>
                <w:b w:val="0"/>
                <w:sz w:val="17"/>
              </w:rPr>
              <w:t>§2</w:t>
            </w:r>
          </w:p>
        </w:tc>
        <w:tc>
          <w:tcPr>
            <w:tcW w:type="dxa" w:w="2412"/>
          </w:tcPr>
          <w:p>
            <w:r>
              <w:rPr>
                <w:b w:val="0"/>
                <w:sz w:val="17"/>
              </w:rPr>
            </w:r>
            <w:r>
              <w:rPr>
                <w:b w:val="0"/>
                <w:sz w:val="17"/>
              </w:rPr>
              <w:t>P0</w:t>
            </w:r>
          </w:p>
        </w:tc>
      </w:tr>
      <w:tr>
        <w:tc>
          <w:tcPr>
            <w:tcW w:type="dxa" w:w="2412"/>
          </w:tcPr>
          <w:p>
            <w:r>
              <w:rPr>
                <w:b w:val="0"/>
                <w:sz w:val="17"/>
              </w:rPr>
            </w:r>
            <w:r>
              <w:rPr>
                <w:b w:val="0"/>
                <w:sz w:val="17"/>
              </w:rPr>
              <w:t>10</w:t>
            </w:r>
          </w:p>
        </w:tc>
        <w:tc>
          <w:tcPr>
            <w:tcW w:type="dxa" w:w="2412"/>
          </w:tcPr>
          <w:p>
            <w:r>
              <w:rPr>
                <w:b w:val="0"/>
                <w:sz w:val="17"/>
              </w:rPr>
            </w:r>
            <w:r>
              <w:rPr>
                <w:b w:val="0"/>
                <w:sz w:val="17"/>
              </w:rPr>
              <w:t>AI-use policy</w:t>
            </w:r>
          </w:p>
        </w:tc>
        <w:tc>
          <w:tcPr>
            <w:tcW w:type="dxa" w:w="2412"/>
          </w:tcPr>
          <w:p>
            <w:r>
              <w:rPr>
                <w:b w:val="0"/>
                <w:sz w:val="17"/>
              </w:rPr>
            </w:r>
            <w:r>
              <w:rPr>
                <w:b w:val="0"/>
                <w:sz w:val="17"/>
              </w:rPr>
              <w:t>§5</w:t>
            </w:r>
          </w:p>
        </w:tc>
        <w:tc>
          <w:tcPr>
            <w:tcW w:type="dxa" w:w="2412"/>
          </w:tcPr>
          <w:p>
            <w:r>
              <w:rPr>
                <w:b w:val="0"/>
                <w:sz w:val="17"/>
              </w:rPr>
            </w:r>
            <w:r>
              <w:rPr>
                <w:b w:val="0"/>
                <w:sz w:val="17"/>
              </w:rPr>
              <w:t>P1</w:t>
            </w:r>
          </w:p>
        </w:tc>
      </w:tr>
      <w:tr>
        <w:tc>
          <w:tcPr>
            <w:tcW w:type="dxa" w:w="2412"/>
          </w:tcPr>
          <w:p>
            <w:r>
              <w:rPr>
                <w:b w:val="0"/>
                <w:sz w:val="17"/>
              </w:rPr>
            </w:r>
            <w:r>
              <w:rPr>
                <w:b w:val="0"/>
                <w:sz w:val="17"/>
              </w:rPr>
              <w:t>11</w:t>
            </w:r>
          </w:p>
        </w:tc>
        <w:tc>
          <w:tcPr>
            <w:tcW w:type="dxa" w:w="2412"/>
          </w:tcPr>
          <w:p>
            <w:r>
              <w:rPr>
                <w:b w:val="0"/>
                <w:sz w:val="17"/>
              </w:rPr>
            </w:r>
            <w:r>
              <w:rPr>
                <w:b w:val="0"/>
                <w:sz w:val="17"/>
              </w:rPr>
              <w:t>Clinical safety management policy</w:t>
            </w:r>
          </w:p>
        </w:tc>
        <w:tc>
          <w:tcPr>
            <w:tcW w:type="dxa" w:w="2412"/>
          </w:tcPr>
          <w:p>
            <w:r>
              <w:rPr>
                <w:b w:val="0"/>
                <w:sz w:val="17"/>
              </w:rPr>
            </w:r>
            <w:r>
              <w:rPr>
                <w:b w:val="0"/>
                <w:sz w:val="17"/>
              </w:rPr>
              <w:t>DCB0129 alignment; CSO; hazard log</w:t>
            </w:r>
          </w:p>
        </w:tc>
        <w:tc>
          <w:tcPr>
            <w:tcW w:type="dxa" w:w="2412"/>
          </w:tcPr>
          <w:p>
            <w:r>
              <w:rPr>
                <w:b w:val="0"/>
                <w:sz w:val="17"/>
              </w:rPr>
            </w:r>
            <w:r>
              <w:rPr>
                <w:b w:val="0"/>
                <w:sz w:val="17"/>
              </w:rPr>
              <w:t>P1 (before build)</w:t>
            </w:r>
          </w:p>
        </w:tc>
      </w:tr>
      <w:tr>
        <w:tc>
          <w:tcPr>
            <w:tcW w:type="dxa" w:w="2412"/>
          </w:tcPr>
          <w:p>
            <w:r>
              <w:rPr>
                <w:b w:val="0"/>
                <w:sz w:val="17"/>
              </w:rPr>
            </w:r>
            <w:r>
              <w:rPr>
                <w:b w:val="0"/>
                <w:sz w:val="17"/>
              </w:rPr>
              <w:t>12</w:t>
            </w:r>
          </w:p>
        </w:tc>
        <w:tc>
          <w:tcPr>
            <w:tcW w:type="dxa" w:w="2412"/>
          </w:tcPr>
          <w:p>
            <w:r>
              <w:rPr>
                <w:b w:val="0"/>
                <w:sz w:val="17"/>
              </w:rPr>
            </w:r>
            <w:r>
              <w:rPr>
                <w:b w:val="0"/>
                <w:sz w:val="17"/>
              </w:rPr>
              <w:t>Safeguarding policy</w:t>
            </w:r>
          </w:p>
        </w:tc>
        <w:tc>
          <w:tcPr>
            <w:tcW w:type="dxa" w:w="2412"/>
          </w:tcPr>
          <w:p>
            <w:r>
              <w:rPr>
                <w:b w:val="0"/>
                <w:sz w:val="17"/>
              </w:rPr>
            </w:r>
            <w:r>
              <w:rPr>
                <w:b w:val="0"/>
                <w:sz w:val="17"/>
              </w:rPr>
              <w:t>§7</w:t>
            </w:r>
          </w:p>
        </w:tc>
        <w:tc>
          <w:tcPr>
            <w:tcW w:type="dxa" w:w="2412"/>
          </w:tcPr>
          <w:p>
            <w:r>
              <w:rPr>
                <w:b w:val="0"/>
                <w:sz w:val="17"/>
              </w:rPr>
            </w:r>
            <w:r>
              <w:rPr>
                <w:b w:val="0"/>
                <w:sz w:val="17"/>
              </w:rPr>
              <w:t>P1</w:t>
            </w:r>
          </w:p>
        </w:tc>
      </w:tr>
      <w:tr>
        <w:tc>
          <w:tcPr>
            <w:tcW w:type="dxa" w:w="2412"/>
          </w:tcPr>
          <w:p>
            <w:r>
              <w:rPr>
                <w:b w:val="0"/>
                <w:sz w:val="17"/>
              </w:rPr>
            </w:r>
            <w:r>
              <w:rPr>
                <w:b w:val="0"/>
                <w:sz w:val="17"/>
              </w:rPr>
              <w:t>13</w:t>
            </w:r>
          </w:p>
        </w:tc>
        <w:tc>
          <w:tcPr>
            <w:tcW w:type="dxa" w:w="2412"/>
          </w:tcPr>
          <w:p>
            <w:r>
              <w:rPr>
                <w:b w:val="0"/>
                <w:sz w:val="17"/>
              </w:rPr>
            </w:r>
            <w:r>
              <w:rPr>
                <w:b w:val="0"/>
                <w:sz w:val="17"/>
              </w:rPr>
              <w:t>Anti-bribery and corruption (Bribery Act 2010 — extraterritorial; relevant to government sales in Nigeria)</w:t>
            </w:r>
          </w:p>
        </w:tc>
        <w:tc>
          <w:tcPr>
            <w:tcW w:type="dxa" w:w="2412"/>
          </w:tcPr>
          <w:p>
            <w:r>
              <w:rPr>
                <w:b w:val="0"/>
                <w:sz w:val="17"/>
              </w:rPr>
            </w:r>
            <w:r>
              <w:rPr>
                <w:b w:val="0"/>
                <w:sz w:val="17"/>
              </w:rPr>
              <w:t>Gifts/hospitality register; agents due diligence; no facilitation payments</w:t>
            </w:r>
          </w:p>
        </w:tc>
        <w:tc>
          <w:tcPr>
            <w:tcW w:type="dxa" w:w="2412"/>
          </w:tcPr>
          <w:p>
            <w:r>
              <w:rPr>
                <w:b w:val="0"/>
                <w:sz w:val="17"/>
              </w:rPr>
            </w:r>
            <w:r>
              <w:rPr>
                <w:b w:val="0"/>
                <w:sz w:val="17"/>
              </w:rPr>
              <w:t>P0 before any government interaction</w:t>
            </w:r>
          </w:p>
        </w:tc>
      </w:tr>
      <w:tr>
        <w:tc>
          <w:tcPr>
            <w:tcW w:type="dxa" w:w="2412"/>
          </w:tcPr>
          <w:p>
            <w:r>
              <w:rPr>
                <w:b w:val="0"/>
                <w:sz w:val="17"/>
              </w:rPr>
            </w:r>
            <w:r>
              <w:rPr>
                <w:b w:val="0"/>
                <w:sz w:val="17"/>
              </w:rPr>
              <w:t>14</w:t>
            </w:r>
          </w:p>
        </w:tc>
        <w:tc>
          <w:tcPr>
            <w:tcW w:type="dxa" w:w="2412"/>
          </w:tcPr>
          <w:p>
            <w:r>
              <w:rPr>
                <w:b w:val="0"/>
                <w:sz w:val="17"/>
              </w:rPr>
            </w:r>
            <w:r>
              <w:rPr>
                <w:b w:val="0"/>
                <w:sz w:val="17"/>
              </w:rPr>
              <w:t>Conflicts of interest</w:t>
            </w:r>
          </w:p>
        </w:tc>
        <w:tc>
          <w:tcPr>
            <w:tcW w:type="dxa" w:w="2412"/>
          </w:tcPr>
          <w:p>
            <w:r>
              <w:rPr>
                <w:b w:val="0"/>
                <w:sz w:val="17"/>
              </w:rPr>
            </w:r>
            <w:r>
              <w:rPr>
                <w:b w:val="0"/>
                <w:sz w:val="17"/>
              </w:rPr>
              <w:t>Register (founder's other venture Kemek Enterprise Ltd; advisers)</w:t>
            </w:r>
          </w:p>
        </w:tc>
        <w:tc>
          <w:tcPr>
            <w:tcW w:type="dxa" w:w="2412"/>
          </w:tcPr>
          <w:p>
            <w:r>
              <w:rPr>
                <w:b w:val="0"/>
                <w:sz w:val="17"/>
              </w:rPr>
            </w:r>
            <w:r>
              <w:rPr>
                <w:b w:val="0"/>
                <w:sz w:val="17"/>
              </w:rPr>
              <w:t>P0</w:t>
            </w:r>
          </w:p>
        </w:tc>
      </w:tr>
      <w:tr>
        <w:tc>
          <w:tcPr>
            <w:tcW w:type="dxa" w:w="2412"/>
          </w:tcPr>
          <w:p>
            <w:r>
              <w:rPr>
                <w:b w:val="0"/>
                <w:sz w:val="17"/>
              </w:rPr>
            </w:r>
            <w:r>
              <w:rPr>
                <w:b w:val="0"/>
                <w:sz w:val="17"/>
              </w:rPr>
              <w:t>15</w:t>
            </w:r>
          </w:p>
        </w:tc>
        <w:tc>
          <w:tcPr>
            <w:tcW w:type="dxa" w:w="2412"/>
          </w:tcPr>
          <w:p>
            <w:r>
              <w:rPr>
                <w:b w:val="0"/>
                <w:sz w:val="17"/>
              </w:rPr>
            </w:r>
            <w:r>
              <w:rPr>
                <w:b w:val="0"/>
                <w:sz w:val="17"/>
              </w:rPr>
              <w:t>Equality, diversity and inclusion; whistleblowing; health and safety (from first employee)</w:t>
            </w:r>
          </w:p>
        </w:tc>
        <w:tc>
          <w:tcPr>
            <w:tcW w:type="dxa" w:w="2412"/>
          </w:tcPr>
          <w:p>
            <w:r>
              <w:rPr>
                <w:b w:val="0"/>
                <w:sz w:val="17"/>
              </w:rPr>
            </w:r>
            <w:r>
              <w:rPr>
                <w:b w:val="0"/>
                <w:sz w:val="17"/>
              </w:rPr>
              <w:t>Statutory</w:t>
            </w:r>
          </w:p>
        </w:tc>
        <w:tc>
          <w:tcPr>
            <w:tcW w:type="dxa" w:w="2412"/>
          </w:tcPr>
          <w:p>
            <w:r>
              <w:rPr>
                <w:b w:val="0"/>
                <w:sz w:val="17"/>
              </w:rPr>
            </w:r>
            <w:r>
              <w:rPr>
                <w:b w:val="0"/>
                <w:sz w:val="17"/>
              </w:rPr>
              <w:t>P2</w:t>
            </w:r>
          </w:p>
        </w:tc>
      </w:tr>
      <w:tr>
        <w:tc>
          <w:tcPr>
            <w:tcW w:type="dxa" w:w="2412"/>
          </w:tcPr>
          <w:p>
            <w:r>
              <w:rPr>
                <w:b w:val="0"/>
                <w:sz w:val="17"/>
              </w:rPr>
            </w:r>
            <w:r>
              <w:rPr>
                <w:b w:val="0"/>
                <w:sz w:val="17"/>
              </w:rPr>
              <w:t>16</w:t>
            </w:r>
          </w:p>
        </w:tc>
        <w:tc>
          <w:tcPr>
            <w:tcW w:type="dxa" w:w="2412"/>
          </w:tcPr>
          <w:p>
            <w:r>
              <w:rPr>
                <w:b w:val="0"/>
                <w:sz w:val="17"/>
              </w:rPr>
            </w:r>
            <w:r>
              <w:rPr>
                <w:b w:val="0"/>
                <w:sz w:val="17"/>
              </w:rPr>
              <w:t>Business ethics / claims policy</w:t>
            </w:r>
          </w:p>
        </w:tc>
        <w:tc>
          <w:tcPr>
            <w:tcW w:type="dxa" w:w="2412"/>
          </w:tcPr>
          <w:p>
            <w:r>
              <w:rPr>
                <w:b w:val="0"/>
                <w:sz w:val="17"/>
              </w:rPr>
            </w:r>
            <w:r>
              <w:rPr>
                <w:b w:val="0"/>
                <w:sz w:val="17"/>
              </w:rPr>
              <w:t>FACTS_BASE language rules as company policy</w:t>
            </w:r>
          </w:p>
        </w:tc>
        <w:tc>
          <w:tcPr>
            <w:tcW w:type="dxa" w:w="2412"/>
          </w:tcPr>
          <w:p>
            <w:r>
              <w:rPr>
                <w:b w:val="0"/>
                <w:sz w:val="17"/>
              </w:rPr>
            </w:r>
            <w:r>
              <w:rPr>
                <w:b w:val="0"/>
                <w:sz w:val="17"/>
              </w:rPr>
              <w:t>P0</w:t>
            </w:r>
          </w:p>
        </w:tc>
      </w:tr>
    </w:tbl>
    <w:p/>
    <w:p>
      <w:pPr>
        <w:pStyle w:val="Heading2"/>
      </w:pPr>
      <w:r>
        <w:t>10. Website terms, privacy and cookies</w:t>
      </w:r>
    </w:p>
    <w:p>
      <w:pPr>
        <w:pStyle w:val="ListBullet"/>
      </w:pPr>
      <w:r>
        <w:rPr>
          <w:b/>
        </w:rPr>
        <w:t>Company details</w:t>
      </w:r>
      <w:r>
        <w:t xml:space="preserve"> (Companies Act 2006 / E-Commerce Regulations): registered name, number, registered office and (if VAT-registered) VAT number on the website and emails once incorporated.</w:t>
      </w:r>
    </w:p>
    <w:p>
      <w:pPr>
        <w:pStyle w:val="ListBullet"/>
      </w:pPr>
      <w:r>
        <w:rPr>
          <w:b/>
        </w:rPr>
        <w:t>Privacy notice</w:t>
      </w:r>
      <w:r>
        <w:t>: who we are; what we collect (forms, newsletter, analytics); purposes and lawful bases; retention; recipients/processors; international transfers; rights; ICO complaint route; DPO/contact.</w:t>
      </w:r>
    </w:p>
    <w:p>
      <w:pPr>
        <w:pStyle w:val="ListBullet"/>
      </w:pPr>
      <w:r>
        <w:rPr>
          <w:b/>
        </w:rPr>
        <w:t>Cookies</w:t>
      </w:r>
      <w:r>
        <w:t>: preferred design is no non-essential cookies (privacy-preserving, cookieless analytics — TO VALIDATE that the chosen tool sets no identifiers); then no consent banner is needed, only a short cookie notice. If marketing pixels are ever added, a compliant consent tool is required (DUAA 2025 changed some low-risk cookie rules — TO VALIDATE).</w:t>
      </w:r>
    </w:p>
    <w:p>
      <w:pPr>
        <w:pStyle w:val="ListBullet"/>
      </w:pPr>
      <w:r>
        <w:rPr>
          <w:b/>
        </w:rPr>
        <w:t>Terms of use</w:t>
      </w:r>
      <w:r>
        <w:t>: no clinical advice; content for information only; MaternaLink is in development; limitation of liability; governing law.</w:t>
      </w:r>
    </w:p>
    <w:p>
      <w:pPr>
        <w:pStyle w:val="ListBullet"/>
      </w:pPr>
      <w:r>
        <w:rPr>
          <w:b/>
        </w:rPr>
        <w:t>Accessibility statement</w:t>
      </w:r>
      <w:r>
        <w:t>: WCAG 2.2 AA target; not a public-sector obligation but expected by NHS buyers.</w:t>
      </w:r>
    </w:p>
    <w:p>
      <w:pPr>
        <w:pStyle w:val="ListBullet"/>
      </w:pPr>
      <w:r>
        <w:rPr>
          <w:b/>
        </w:rPr>
        <w:t>Forms</w:t>
      </w:r>
      <w:r>
        <w:t>: state where data goes and how long it is kept, at the point of capture.</w:t>
      </w:r>
    </w:p>
    <w:p>
      <w:pPr>
        <w:pStyle w:val="Heading2"/>
      </w:pPr>
      <w:r>
        <w:t>11. Insurance (ESTIMATE premiums for a pre-revenue, one-person UK consultancy; TO VALIDATE with a broker; buy PI before the first paid engagement)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Cover</w:t>
            </w:r>
          </w:p>
        </w:tc>
        <w:tc>
          <w:tcPr>
            <w:tcW w:type="dxa" w:w="1930"/>
          </w:tcPr>
          <w:p>
            <w:r>
              <w:rPr>
                <w:b/>
                <w:sz w:val="17"/>
              </w:rPr>
            </w:r>
            <w:r>
              <w:rPr>
                <w:b/>
                <w:sz w:val="17"/>
              </w:rPr>
              <w:t>Limit (PROPOSED)</w:t>
            </w:r>
          </w:p>
        </w:tc>
        <w:tc>
          <w:tcPr>
            <w:tcW w:type="dxa" w:w="1930"/>
          </w:tcPr>
          <w:p>
            <w:r>
              <w:rPr>
                <w:b/>
                <w:sz w:val="17"/>
              </w:rPr>
            </w:r>
            <w:r>
              <w:rPr>
                <w:b/>
                <w:sz w:val="17"/>
              </w:rPr>
              <w:t>Why</w:t>
            </w:r>
          </w:p>
        </w:tc>
        <w:tc>
          <w:tcPr>
            <w:tcW w:type="dxa" w:w="1930"/>
          </w:tcPr>
          <w:p>
            <w:r>
              <w:rPr>
                <w:b/>
                <w:sz w:val="17"/>
              </w:rPr>
            </w:r>
            <w:r>
              <w:rPr>
                <w:b/>
                <w:sz w:val="17"/>
              </w:rPr>
              <w:t>Annual premium (ESTIMATE)</w:t>
            </w:r>
          </w:p>
        </w:tc>
        <w:tc>
          <w:tcPr>
            <w:tcW w:type="dxa" w:w="1930"/>
          </w:tcPr>
          <w:p>
            <w:r>
              <w:rPr>
                <w:b/>
                <w:sz w:val="17"/>
              </w:rPr>
            </w:r>
            <w:r>
              <w:rPr>
                <w:b/>
                <w:sz w:val="17"/>
              </w:rPr>
              <w:t>When</w:t>
            </w:r>
          </w:p>
        </w:tc>
      </w:tr>
      <w:tr>
        <w:tc>
          <w:tcPr>
            <w:tcW w:type="dxa" w:w="1930"/>
          </w:tcPr>
          <w:p>
            <w:r>
              <w:rPr>
                <w:b w:val="0"/>
                <w:sz w:val="17"/>
              </w:rPr>
            </w:r>
            <w:r>
              <w:rPr>
                <w:b w:val="0"/>
                <w:sz w:val="17"/>
              </w:rPr>
              <w:t>Professional indemnity (PI)</w:t>
            </w:r>
          </w:p>
        </w:tc>
        <w:tc>
          <w:tcPr>
            <w:tcW w:type="dxa" w:w="1930"/>
          </w:tcPr>
          <w:p>
            <w:r>
              <w:rPr>
                <w:b w:val="0"/>
                <w:sz w:val="17"/>
              </w:rPr>
            </w:r>
            <w:r>
              <w:rPr>
                <w:b w:val="0"/>
                <w:sz w:val="17"/>
              </w:rPr>
              <w:t>£1m (rising to £2m–£5m when NHS contracts require)</w:t>
            </w:r>
          </w:p>
        </w:tc>
        <w:tc>
          <w:tcPr>
            <w:tcW w:type="dxa" w:w="1930"/>
          </w:tcPr>
          <w:p>
            <w:r>
              <w:rPr>
                <w:b w:val="0"/>
                <w:sz w:val="17"/>
              </w:rPr>
            </w:r>
            <w:r>
              <w:rPr>
                <w:b w:val="0"/>
                <w:sz w:val="17"/>
              </w:rPr>
              <w:t>Advisory errors; contract requirement; MSA references it</w:t>
            </w:r>
          </w:p>
        </w:tc>
        <w:tc>
          <w:tcPr>
            <w:tcW w:type="dxa" w:w="1930"/>
          </w:tcPr>
          <w:p>
            <w:r>
              <w:rPr>
                <w:b w:val="0"/>
                <w:sz w:val="17"/>
              </w:rPr>
            </w:r>
            <w:r>
              <w:rPr>
                <w:b w:val="0"/>
                <w:sz w:val="17"/>
              </w:rPr>
              <w:t>£400–£900</w:t>
            </w:r>
          </w:p>
        </w:tc>
        <w:tc>
          <w:tcPr>
            <w:tcW w:type="dxa" w:w="1930"/>
          </w:tcPr>
          <w:p>
            <w:r>
              <w:rPr>
                <w:b w:val="0"/>
                <w:sz w:val="17"/>
              </w:rPr>
            </w:r>
            <w:r>
              <w:rPr>
                <w:b w:val="0"/>
                <w:sz w:val="17"/>
              </w:rPr>
              <w:t>Before first paid engagement (Day 14–21)</w:t>
            </w:r>
          </w:p>
        </w:tc>
      </w:tr>
      <w:tr>
        <w:tc>
          <w:tcPr>
            <w:tcW w:type="dxa" w:w="1930"/>
          </w:tcPr>
          <w:p>
            <w:r>
              <w:rPr>
                <w:b w:val="0"/>
                <w:sz w:val="17"/>
              </w:rPr>
            </w:r>
            <w:r>
              <w:rPr>
                <w:b w:val="0"/>
                <w:sz w:val="17"/>
              </w:rPr>
              <w:t>Public liability (PL)</w:t>
            </w:r>
          </w:p>
        </w:tc>
        <w:tc>
          <w:tcPr>
            <w:tcW w:type="dxa" w:w="1930"/>
          </w:tcPr>
          <w:p>
            <w:r>
              <w:rPr>
                <w:b w:val="0"/>
                <w:sz w:val="17"/>
              </w:rPr>
            </w:r>
            <w:r>
              <w:rPr>
                <w:b w:val="0"/>
                <w:sz w:val="17"/>
              </w:rPr>
              <w:t>£2m</w:t>
            </w:r>
          </w:p>
        </w:tc>
        <w:tc>
          <w:tcPr>
            <w:tcW w:type="dxa" w:w="1930"/>
          </w:tcPr>
          <w:p>
            <w:r>
              <w:rPr>
                <w:b w:val="0"/>
                <w:sz w:val="17"/>
              </w:rPr>
            </w:r>
            <w:r>
              <w:rPr>
                <w:b w:val="0"/>
                <w:sz w:val="17"/>
              </w:rPr>
              <w:t>Client sites, events</w:t>
            </w:r>
          </w:p>
        </w:tc>
        <w:tc>
          <w:tcPr>
            <w:tcW w:type="dxa" w:w="1930"/>
          </w:tcPr>
          <w:p>
            <w:r>
              <w:rPr>
                <w:b w:val="0"/>
                <w:sz w:val="17"/>
              </w:rPr>
            </w:r>
            <w:r>
              <w:rPr>
                <w:b w:val="0"/>
                <w:sz w:val="17"/>
              </w:rPr>
              <w:t>£100–£250</w:t>
            </w:r>
          </w:p>
        </w:tc>
        <w:tc>
          <w:tcPr>
            <w:tcW w:type="dxa" w:w="1930"/>
          </w:tcPr>
          <w:p>
            <w:r>
              <w:rPr>
                <w:b w:val="0"/>
                <w:sz w:val="17"/>
              </w:rPr>
            </w:r>
            <w:r>
              <w:rPr>
                <w:b w:val="0"/>
                <w:sz w:val="17"/>
              </w:rPr>
              <w:t>With PI</w:t>
            </w:r>
          </w:p>
        </w:tc>
      </w:tr>
      <w:tr>
        <w:tc>
          <w:tcPr>
            <w:tcW w:type="dxa" w:w="1930"/>
          </w:tcPr>
          <w:p>
            <w:r>
              <w:rPr>
                <w:b w:val="0"/>
                <w:sz w:val="17"/>
              </w:rPr>
            </w:r>
            <w:r>
              <w:rPr>
                <w:b w:val="0"/>
                <w:sz w:val="17"/>
              </w:rPr>
              <w:t>Cyber and data</w:t>
            </w:r>
          </w:p>
        </w:tc>
        <w:tc>
          <w:tcPr>
            <w:tcW w:type="dxa" w:w="1930"/>
          </w:tcPr>
          <w:p>
            <w:r>
              <w:rPr>
                <w:b w:val="0"/>
                <w:sz w:val="17"/>
              </w:rPr>
            </w:r>
            <w:r>
              <w:rPr>
                <w:b w:val="0"/>
                <w:sz w:val="17"/>
              </w:rPr>
              <w:t>£500k–£1m</w:t>
            </w:r>
          </w:p>
        </w:tc>
        <w:tc>
          <w:tcPr>
            <w:tcW w:type="dxa" w:w="1930"/>
          </w:tcPr>
          <w:p>
            <w:r>
              <w:rPr>
                <w:b w:val="0"/>
                <w:sz w:val="17"/>
              </w:rPr>
            </w:r>
            <w:r>
              <w:rPr>
                <w:b w:val="0"/>
                <w:sz w:val="17"/>
              </w:rPr>
              <w:t>Breach costs, notification, extortion; NHS buyers increasingly require it</w:t>
            </w:r>
          </w:p>
        </w:tc>
        <w:tc>
          <w:tcPr>
            <w:tcW w:type="dxa" w:w="1930"/>
          </w:tcPr>
          <w:p>
            <w:r>
              <w:rPr>
                <w:b w:val="0"/>
                <w:sz w:val="17"/>
              </w:rPr>
            </w:r>
            <w:r>
              <w:rPr>
                <w:b w:val="0"/>
                <w:sz w:val="17"/>
              </w:rPr>
              <w:t>£500–£1,500</w:t>
            </w:r>
          </w:p>
        </w:tc>
        <w:tc>
          <w:tcPr>
            <w:tcW w:type="dxa" w:w="1930"/>
          </w:tcPr>
          <w:p>
            <w:r>
              <w:rPr>
                <w:b w:val="0"/>
                <w:sz w:val="17"/>
              </w:rPr>
            </w:r>
            <w:r>
              <w:rPr>
                <w:b w:val="0"/>
                <w:sz w:val="17"/>
              </w:rPr>
              <w:t>Before any personal data at scale; P0 before MaternaLink deployment</w:t>
            </w:r>
          </w:p>
        </w:tc>
      </w:tr>
      <w:tr>
        <w:tc>
          <w:tcPr>
            <w:tcW w:type="dxa" w:w="1930"/>
          </w:tcPr>
          <w:p>
            <w:r>
              <w:rPr>
                <w:b w:val="0"/>
                <w:sz w:val="17"/>
              </w:rPr>
            </w:r>
            <w:r>
              <w:rPr>
                <w:b w:val="0"/>
                <w:sz w:val="17"/>
              </w:rPr>
              <w:t>Directors' and officers' (D&amp;O)</w:t>
            </w:r>
          </w:p>
        </w:tc>
        <w:tc>
          <w:tcPr>
            <w:tcW w:type="dxa" w:w="1930"/>
          </w:tcPr>
          <w:p>
            <w:r>
              <w:rPr>
                <w:b w:val="0"/>
                <w:sz w:val="17"/>
              </w:rPr>
            </w:r>
            <w:r>
              <w:rPr>
                <w:b w:val="0"/>
                <w:sz w:val="17"/>
              </w:rPr>
              <w:t>£1m</w:t>
            </w:r>
          </w:p>
        </w:tc>
        <w:tc>
          <w:tcPr>
            <w:tcW w:type="dxa" w:w="1930"/>
          </w:tcPr>
          <w:p>
            <w:r>
              <w:rPr>
                <w:b w:val="0"/>
                <w:sz w:val="17"/>
              </w:rPr>
            </w:r>
            <w:r>
              <w:rPr>
                <w:b w:val="0"/>
                <w:sz w:val="17"/>
              </w:rPr>
              <w:t>Personal liability; investors often require on investment</w:t>
            </w:r>
          </w:p>
        </w:tc>
        <w:tc>
          <w:tcPr>
            <w:tcW w:type="dxa" w:w="1930"/>
          </w:tcPr>
          <w:p>
            <w:r>
              <w:rPr>
                <w:b w:val="0"/>
                <w:sz w:val="17"/>
              </w:rPr>
            </w:r>
            <w:r>
              <w:rPr>
                <w:b w:val="0"/>
                <w:sz w:val="17"/>
              </w:rPr>
              <w:t>£400–£1,000</w:t>
            </w:r>
          </w:p>
        </w:tc>
        <w:tc>
          <w:tcPr>
            <w:tcW w:type="dxa" w:w="1930"/>
          </w:tcPr>
          <w:p>
            <w:r>
              <w:rPr>
                <w:b w:val="0"/>
                <w:sz w:val="17"/>
              </w:rPr>
            </w:r>
            <w:r>
              <w:rPr>
                <w:b w:val="0"/>
                <w:sz w:val="17"/>
              </w:rPr>
              <w:t>On first external investment or first non-founder director</w:t>
            </w:r>
          </w:p>
        </w:tc>
      </w:tr>
      <w:tr>
        <w:tc>
          <w:tcPr>
            <w:tcW w:type="dxa" w:w="1930"/>
          </w:tcPr>
          <w:p>
            <w:r>
              <w:rPr>
                <w:b w:val="0"/>
                <w:sz w:val="17"/>
              </w:rPr>
            </w:r>
            <w:r>
              <w:rPr>
                <w:b w:val="0"/>
                <w:sz w:val="17"/>
              </w:rPr>
              <w:t>Employers' liability (EL)</w:t>
            </w:r>
          </w:p>
        </w:tc>
        <w:tc>
          <w:tcPr>
            <w:tcW w:type="dxa" w:w="1930"/>
          </w:tcPr>
          <w:p>
            <w:r>
              <w:rPr>
                <w:b w:val="0"/>
                <w:sz w:val="17"/>
              </w:rPr>
            </w:r>
            <w:r>
              <w:rPr>
                <w:b w:val="0"/>
                <w:sz w:val="17"/>
              </w:rPr>
              <w:t>£10m (statutory minimum £5m)</w:t>
            </w:r>
          </w:p>
        </w:tc>
        <w:tc>
          <w:tcPr>
            <w:tcW w:type="dxa" w:w="1930"/>
          </w:tcPr>
          <w:p>
            <w:r>
              <w:rPr>
                <w:b w:val="0"/>
                <w:sz w:val="17"/>
              </w:rPr>
            </w:r>
            <w:r>
              <w:rPr>
                <w:b w:val="0"/>
                <w:sz w:val="17"/>
              </w:rPr>
              <w:t>Legally required once there is an employee (including some contractors/volunteers — TO VALIDATE)</w:t>
            </w:r>
          </w:p>
        </w:tc>
        <w:tc>
          <w:tcPr>
            <w:tcW w:type="dxa" w:w="1930"/>
          </w:tcPr>
          <w:p>
            <w:r>
              <w:rPr>
                <w:b w:val="0"/>
                <w:sz w:val="17"/>
              </w:rPr>
            </w:r>
            <w:r>
              <w:rPr>
                <w:b w:val="0"/>
                <w:sz w:val="17"/>
              </w:rPr>
              <w:t>£150–£400</w:t>
            </w:r>
          </w:p>
        </w:tc>
        <w:tc>
          <w:tcPr>
            <w:tcW w:type="dxa" w:w="1930"/>
          </w:tcPr>
          <w:p>
            <w:r>
              <w:rPr>
                <w:b w:val="0"/>
                <w:sz w:val="17"/>
              </w:rPr>
            </w:r>
            <w:r>
              <w:rPr>
                <w:b w:val="0"/>
                <w:sz w:val="17"/>
              </w:rPr>
              <w:t>First employee</w:t>
            </w:r>
          </w:p>
        </w:tc>
      </w:tr>
      <w:tr>
        <w:tc>
          <w:tcPr>
            <w:tcW w:type="dxa" w:w="1930"/>
          </w:tcPr>
          <w:p>
            <w:r>
              <w:rPr>
                <w:b w:val="0"/>
                <w:sz w:val="17"/>
              </w:rPr>
            </w:r>
            <w:r>
              <w:rPr>
                <w:b w:val="0"/>
                <w:sz w:val="17"/>
              </w:rPr>
              <w:t>Product liability / technology E&amp;O extension</w:t>
            </w:r>
          </w:p>
        </w:tc>
        <w:tc>
          <w:tcPr>
            <w:tcW w:type="dxa" w:w="1930"/>
          </w:tcPr>
          <w:p>
            <w:r>
              <w:rPr>
                <w:b w:val="0"/>
                <w:sz w:val="17"/>
              </w:rPr>
            </w:r>
            <w:r>
              <w:rPr>
                <w:b w:val="0"/>
                <w:sz w:val="17"/>
              </w:rPr>
              <w:t>£1m–£2m</w:t>
            </w:r>
          </w:p>
        </w:tc>
        <w:tc>
          <w:tcPr>
            <w:tcW w:type="dxa" w:w="1930"/>
          </w:tcPr>
          <w:p>
            <w:r>
              <w:rPr>
                <w:b w:val="0"/>
                <w:sz w:val="17"/>
              </w:rPr>
            </w:r>
            <w:r>
              <w:rPr>
                <w:b w:val="0"/>
                <w:sz w:val="17"/>
              </w:rPr>
              <w:t>Software supply to health providers</w:t>
            </w:r>
          </w:p>
        </w:tc>
        <w:tc>
          <w:tcPr>
            <w:tcW w:type="dxa" w:w="1930"/>
          </w:tcPr>
          <w:p>
            <w:r>
              <w:rPr>
                <w:b w:val="0"/>
                <w:sz w:val="17"/>
              </w:rPr>
            </w:r>
            <w:r>
              <w:rPr>
                <w:b w:val="0"/>
                <w:sz w:val="17"/>
              </w:rPr>
              <w:t>Included/added to PI package; £300–£800</w:t>
            </w:r>
          </w:p>
        </w:tc>
        <w:tc>
          <w:tcPr>
            <w:tcW w:type="dxa" w:w="1930"/>
          </w:tcPr>
          <w:p>
            <w:r>
              <w:rPr>
                <w:b w:val="0"/>
                <w:sz w:val="17"/>
              </w:rPr>
            </w:r>
            <w:r>
              <w:rPr>
                <w:b w:val="0"/>
                <w:sz w:val="17"/>
              </w:rPr>
              <w:t>Before first MaternaLink deployment</w:t>
            </w:r>
          </w:p>
        </w:tc>
      </w:tr>
      <w:tr>
        <w:tc>
          <w:tcPr>
            <w:tcW w:type="dxa" w:w="1930"/>
          </w:tcPr>
          <w:p>
            <w:r>
              <w:rPr>
                <w:b w:val="0"/>
                <w:sz w:val="17"/>
              </w:rPr>
            </w:r>
            <w:r>
              <w:rPr>
                <w:b w:val="0"/>
                <w:sz w:val="17"/>
              </w:rPr>
              <w:t>Clinical trials / medical malpractice</w:t>
            </w:r>
          </w:p>
        </w:tc>
        <w:tc>
          <w:tcPr>
            <w:tcW w:type="dxa" w:w="1930"/>
          </w:tcPr>
          <w:p>
            <w:r>
              <w:rPr>
                <w:b w:val="0"/>
                <w:sz w:val="17"/>
              </w:rPr>
            </w:r>
            <w:r>
              <w:rPr>
                <w:b w:val="0"/>
                <w:sz w:val="17"/>
              </w:rPr>
              <w:t>n/a in v1</w:t>
            </w:r>
          </w:p>
        </w:tc>
        <w:tc>
          <w:tcPr>
            <w:tcW w:type="dxa" w:w="1930"/>
          </w:tcPr>
          <w:p>
            <w:r>
              <w:rPr>
                <w:b w:val="0"/>
                <w:sz w:val="17"/>
              </w:rPr>
            </w:r>
            <w:r>
              <w:rPr>
                <w:b w:val="0"/>
                <w:sz w:val="17"/>
              </w:rPr>
              <w:t>Only if Vytalix clinicians give advice or a device study runs</w:t>
            </w:r>
          </w:p>
        </w:tc>
        <w:tc>
          <w:tcPr>
            <w:tcW w:type="dxa" w:w="1930"/>
          </w:tcPr>
          <w:p>
            <w:r>
              <w:rPr>
                <w:b w:val="0"/>
                <w:sz w:val="17"/>
              </w:rPr>
            </w:r>
            <w:r>
              <w:rPr>
                <w:b w:val="0"/>
                <w:sz w:val="17"/>
              </w:rPr>
              <w:t>TO VALIDATE</w:t>
            </w:r>
          </w:p>
        </w:tc>
        <w:tc>
          <w:tcPr>
            <w:tcW w:type="dxa" w:w="1930"/>
          </w:tcPr>
          <w:p>
            <w:r>
              <w:rPr>
                <w:b w:val="0"/>
                <w:sz w:val="17"/>
              </w:rPr>
            </w:r>
            <w:r>
              <w:rPr>
                <w:b w:val="0"/>
                <w:sz w:val="17"/>
              </w:rPr>
              <w:t>If ever applicable</w:t>
            </w:r>
          </w:p>
        </w:tc>
      </w:tr>
      <w:tr>
        <w:tc>
          <w:tcPr>
            <w:tcW w:type="dxa" w:w="1930"/>
          </w:tcPr>
          <w:p>
            <w:r>
              <w:rPr>
                <w:b w:val="0"/>
                <w:sz w:val="17"/>
              </w:rPr>
            </w:r>
            <w:r>
              <w:rPr>
                <w:b w:val="0"/>
                <w:sz w:val="17"/>
              </w:rPr>
              <w:t>Travel (Nigeria)</w:t>
            </w:r>
          </w:p>
        </w:tc>
        <w:tc>
          <w:tcPr>
            <w:tcW w:type="dxa" w:w="1930"/>
          </w:tcPr>
          <w:p>
            <w:r>
              <w:rPr>
                <w:b w:val="0"/>
                <w:sz w:val="17"/>
              </w:rPr>
            </w:r>
            <w:r>
              <w:rPr>
                <w:b w:val="0"/>
                <w:sz w:val="17"/>
              </w:rPr>
              <w:t>Business travel incl. medical evacuation</w:t>
            </w:r>
          </w:p>
        </w:tc>
        <w:tc>
          <w:tcPr>
            <w:tcW w:type="dxa" w:w="1930"/>
          </w:tcPr>
          <w:p>
            <w:r>
              <w:rPr>
                <w:b w:val="0"/>
                <w:sz w:val="17"/>
              </w:rPr>
            </w:r>
            <w:r>
              <w:rPr>
                <w:b w:val="0"/>
                <w:sz w:val="17"/>
              </w:rPr>
              <w:t>Founder travel</w:t>
            </w:r>
          </w:p>
        </w:tc>
        <w:tc>
          <w:tcPr>
            <w:tcW w:type="dxa" w:w="1930"/>
          </w:tcPr>
          <w:p>
            <w:r>
              <w:rPr>
                <w:b w:val="0"/>
                <w:sz w:val="17"/>
              </w:rPr>
            </w:r>
            <w:r>
              <w:rPr>
                <w:b w:val="0"/>
                <w:sz w:val="17"/>
              </w:rPr>
              <w:t>£150–£400</w:t>
            </w:r>
          </w:p>
        </w:tc>
        <w:tc>
          <w:tcPr>
            <w:tcW w:type="dxa" w:w="1930"/>
          </w:tcPr>
          <w:p>
            <w:r>
              <w:rPr>
                <w:b w:val="0"/>
                <w:sz w:val="17"/>
              </w:rPr>
            </w:r>
            <w:r>
              <w:rPr>
                <w:b w:val="0"/>
                <w:sz w:val="17"/>
              </w:rPr>
              <w:t>Before first trip</w:t>
            </w:r>
          </w:p>
        </w:tc>
      </w:tr>
    </w:tbl>
    <w:p/>
    <w:p>
      <w:r>
        <w:t>Total year-1 ESTIMATE: £1.5k–£3.5k (PI + PL + cyber), rising to £3k–£6k with D&amp;O and EL.</w:t>
      </w:r>
    </w:p>
    <w:p>
      <w:pPr>
        <w:pStyle w:val="Heading2"/>
      </w:pPr>
      <w:r>
        <w:t>12. International</w:t>
      </w:r>
    </w:p>
    <w:p>
      <w:pPr>
        <w:pStyle w:val="Heading3"/>
      </w:pPr>
      <w:r>
        <w:t>12.1 Nigeria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Item</w:t>
            </w:r>
          </w:p>
        </w:tc>
        <w:tc>
          <w:tcPr>
            <w:tcW w:type="dxa" w:w="3216"/>
          </w:tcPr>
          <w:p>
            <w:r>
              <w:rPr>
                <w:b/>
                <w:sz w:val="17"/>
              </w:rPr>
            </w:r>
            <w:r>
              <w:rPr>
                <w:b/>
                <w:sz w:val="17"/>
              </w:rPr>
              <w:t>Position</w:t>
            </w:r>
          </w:p>
        </w:tc>
        <w:tc>
          <w:tcPr>
            <w:tcW w:type="dxa" w:w="3216"/>
          </w:tcPr>
          <w:p>
            <w:r>
              <w:rPr>
                <w:b/>
                <w:sz w:val="17"/>
              </w:rPr>
            </w:r>
            <w:r>
              <w:rPr>
                <w:b/>
                <w:sz w:val="17"/>
              </w:rPr>
              <w:t>Flag</w:t>
            </w:r>
          </w:p>
        </w:tc>
      </w:tr>
      <w:tr>
        <w:tc>
          <w:tcPr>
            <w:tcW w:type="dxa" w:w="3216"/>
          </w:tcPr>
          <w:p>
            <w:r>
              <w:rPr>
                <w:b w:val="0"/>
                <w:sz w:val="17"/>
              </w:rPr>
            </w:r>
            <w:r>
              <w:rPr>
                <w:b w:val="0"/>
                <w:sz w:val="17"/>
              </w:rPr>
              <w:t>Corporate presence</w:t>
            </w:r>
          </w:p>
        </w:tc>
        <w:tc>
          <w:tcPr>
            <w:tcW w:type="dxa" w:w="3216"/>
          </w:tcPr>
          <w:p>
            <w:r>
              <w:rPr>
                <w:b w:val="0"/>
                <w:sz w:val="17"/>
              </w:rPr>
            </w:r>
            <w:r>
              <w:rPr>
                <w:b w:val="0"/>
                <w:sz w:val="17"/>
              </w:rPr>
              <w:t>Options: (a) contract via a local implementing partner (NGO or company) — preferred for pilots; (b) register a Nigerian subsidiary with the Corporate Affairs Commission (CAC) once a state contract is realistic; foreign-owned companies have minimum share-capital and permit requirements (business permit, expatriate quota if staff relocate) — TO VALIDATE current thresholds and CAC fees (search did not return a reliable current figure)</w:t>
            </w:r>
          </w:p>
        </w:tc>
        <w:tc>
          <w:tcPr>
            <w:tcW w:type="dxa" w:w="3216"/>
          </w:tcPr>
          <w:p>
            <w:r>
              <w:rPr>
                <w:b w:val="0"/>
                <w:sz w:val="17"/>
              </w:rPr>
            </w:r>
            <w:r>
              <w:rPr>
                <w:b w:val="0"/>
                <w:sz w:val="17"/>
              </w:rPr>
              <w:t>Nigerian counsel [SOLICITOR]</w:t>
            </w:r>
          </w:p>
        </w:tc>
      </w:tr>
      <w:tr>
        <w:tc>
          <w:tcPr>
            <w:tcW w:type="dxa" w:w="3216"/>
          </w:tcPr>
          <w:p>
            <w:r>
              <w:rPr>
                <w:b w:val="0"/>
                <w:sz w:val="17"/>
              </w:rPr>
            </w:r>
            <w:r>
              <w:rPr>
                <w:b w:val="0"/>
                <w:sz w:val="17"/>
              </w:rPr>
              <w:t>Data protection — NDPA 2023</w:t>
            </w:r>
          </w:p>
        </w:tc>
        <w:tc>
          <w:tcPr>
            <w:tcW w:type="dxa" w:w="3216"/>
          </w:tcPr>
          <w:p>
            <w:r>
              <w:rPr>
                <w:b w:val="0"/>
                <w:sz w:val="17"/>
              </w:rPr>
            </w:r>
            <w:r>
              <w:rPr>
                <w:b w:val="0"/>
                <w:sz w:val="17"/>
              </w:rPr>
              <w:t xml:space="preserve">Nigeria Data Protection Act 2023 (in force 12 June 2023); regulator NDPC; General Application and Implementation Directive (GAID) 2025. </w:t>
            </w:r>
            <w:r>
              <w:rPr>
                <w:b/>
                <w:sz w:val="17"/>
              </w:rPr>
              <w:t>Registration</w:t>
            </w:r>
            <w:r>
              <w:rPr>
                <w:b w:val="0"/>
                <w:sz w:val="17"/>
              </w:rPr>
              <w:t xml:space="preserve"> required for "data controllers/processors of major importance" — includes any entity processing personal data of </w:t>
            </w:r>
            <w:r>
              <w:rPr>
                <w:b/>
                <w:sz w:val="17"/>
              </w:rPr>
              <w:t>more than 200 data subjects in six months</w:t>
            </w:r>
            <w:r>
              <w:rPr>
                <w:b w:val="0"/>
                <w:sz w:val="17"/>
              </w:rPr>
              <w:t xml:space="preserve"> (per NDPC guidance) — so MaternaLink at any pilot scale must register; annual compliance audit returns are filed via a licensed Data Protection Compliance Organisation (DPCO); penalties for late registration (waiver possible within 6 months of incorporation). Sources: https://ndpc.gov.ng/wp-content/uploads/2025/07/NDP-ACT-GAID-2025-MARCH-20TH.pdf ; https://www.lexology.com/library/detail.aspx?g=84330fb0-4a3f-4588-8a60-89951306f7e5 ; https://kpmg.com/ng/en/home/insights/2024/03/nigeria-data-protection-commissions-guidance-notice-on-registration-of-data-processors-controllers-of-major-importance.html ; https://ndpc.gov.ng/dpco-registration-requirements/ . Fees TO VALIDATE. Sensitive (health) data: explicit consent and other conditions; DPO likely required for major-importance entities; cross-border transfer rules (adequacy/consent/contract) apply to Nigeria → UK flows</w:t>
            </w:r>
          </w:p>
        </w:tc>
        <w:tc>
          <w:tcPr>
            <w:tcW w:type="dxa" w:w="3216"/>
          </w:tcPr>
          <w:p>
            <w:r>
              <w:rPr>
                <w:b w:val="0"/>
                <w:sz w:val="17"/>
              </w:rPr>
            </w:r>
            <w:r>
              <w:rPr>
                <w:b w:val="0"/>
                <w:sz w:val="17"/>
              </w:rPr>
              <w:t>Nigerian counsel; DPCO</w:t>
            </w:r>
          </w:p>
        </w:tc>
      </w:tr>
      <w:tr>
        <w:tc>
          <w:tcPr>
            <w:tcW w:type="dxa" w:w="3216"/>
          </w:tcPr>
          <w:p>
            <w:r>
              <w:rPr>
                <w:b w:val="0"/>
                <w:sz w:val="17"/>
              </w:rPr>
            </w:r>
            <w:r>
              <w:rPr>
                <w:b w:val="0"/>
                <w:sz w:val="17"/>
              </w:rPr>
              <w:t>NAFDAC</w:t>
            </w:r>
          </w:p>
        </w:tc>
        <w:tc>
          <w:tcPr>
            <w:tcW w:type="dxa" w:w="3216"/>
          </w:tcPr>
          <w:p>
            <w:r>
              <w:rPr>
                <w:b w:val="0"/>
                <w:sz w:val="17"/>
              </w:rPr>
            </w:r>
            <w:r>
              <w:rPr>
                <w:b w:val="0"/>
                <w:sz w:val="17"/>
              </w:rPr>
              <w:t>Medical-device regulator; software treatment TO VALIDATE; v1 non-diagnostic scope intended to stay outside</w:t>
            </w:r>
          </w:p>
        </w:tc>
        <w:tc>
          <w:tcPr>
            <w:tcW w:type="dxa" w:w="3216"/>
          </w:tcPr>
          <w:p>
            <w:r>
              <w:rPr>
                <w:b w:val="0"/>
                <w:sz w:val="17"/>
              </w:rPr>
            </w:r>
            <w:r>
              <w:rPr>
                <w:b w:val="0"/>
                <w:sz w:val="17"/>
              </w:rPr>
              <w:t>[REG-CONSULTANT]</w:t>
            </w:r>
          </w:p>
        </w:tc>
      </w:tr>
      <w:tr>
        <w:tc>
          <w:tcPr>
            <w:tcW w:type="dxa" w:w="3216"/>
          </w:tcPr>
          <w:p>
            <w:r>
              <w:rPr>
                <w:b w:val="0"/>
                <w:sz w:val="17"/>
              </w:rPr>
            </w:r>
            <w:r>
              <w:rPr>
                <w:b w:val="0"/>
                <w:sz w:val="17"/>
              </w:rPr>
              <w:t>NHREC</w:t>
            </w:r>
          </w:p>
        </w:tc>
        <w:tc>
          <w:tcPr>
            <w:tcW w:type="dxa" w:w="3216"/>
          </w:tcPr>
          <w:p>
            <w:r>
              <w:rPr>
                <w:b w:val="0"/>
                <w:sz w:val="17"/>
              </w:rPr>
            </w:r>
            <w:r>
              <w:rPr>
                <w:b w:val="0"/>
                <w:sz w:val="17"/>
              </w:rPr>
              <w:t>National Code of Health Research Ethics; any evaluation with participants needs NHREC-registered committee approval (state/institutional HREC)</w:t>
            </w:r>
          </w:p>
        </w:tc>
        <w:tc>
          <w:tcPr>
            <w:tcW w:type="dxa" w:w="3216"/>
          </w:tcPr>
          <w:p>
            <w:r>
              <w:rPr>
                <w:b w:val="0"/>
                <w:sz w:val="17"/>
              </w:rPr>
            </w:r>
            <w:r>
              <w:rPr>
                <w:b w:val="0"/>
                <w:sz w:val="17"/>
              </w:rPr>
              <w:t>Before any pilot evaluation</w:t>
            </w:r>
          </w:p>
        </w:tc>
      </w:tr>
      <w:tr>
        <w:tc>
          <w:tcPr>
            <w:tcW w:type="dxa" w:w="3216"/>
          </w:tcPr>
          <w:p>
            <w:r>
              <w:rPr>
                <w:b w:val="0"/>
                <w:sz w:val="17"/>
              </w:rPr>
            </w:r>
            <w:r>
              <w:rPr>
                <w:b w:val="0"/>
                <w:sz w:val="17"/>
              </w:rPr>
              <w:t>Telecoms (NCC)</w:t>
            </w:r>
          </w:p>
        </w:tc>
        <w:tc>
          <w:tcPr>
            <w:tcW w:type="dxa" w:w="3216"/>
          </w:tcPr>
          <w:p>
            <w:r>
              <w:rPr>
                <w:b w:val="0"/>
                <w:sz w:val="17"/>
              </w:rPr>
            </w:r>
            <w:r>
              <w:rPr>
                <w:b w:val="0"/>
                <w:sz w:val="17"/>
              </w:rPr>
              <w:t>Sender-ID registration, DND rules, bulk SMS licensing via gateway; WhatsApp Business policy</w:t>
            </w:r>
          </w:p>
        </w:tc>
        <w:tc>
          <w:tcPr>
            <w:tcW w:type="dxa" w:w="3216"/>
          </w:tcPr>
          <w:p>
            <w:r>
              <w:rPr>
                <w:b w:val="0"/>
                <w:sz w:val="17"/>
              </w:rPr>
            </w:r>
            <w:r>
              <w:rPr>
                <w:b w:val="0"/>
                <w:sz w:val="17"/>
              </w:rPr>
              <w:t>Gateway vendor to confirm</w:t>
            </w:r>
          </w:p>
        </w:tc>
      </w:tr>
      <w:tr>
        <w:tc>
          <w:tcPr>
            <w:tcW w:type="dxa" w:w="3216"/>
          </w:tcPr>
          <w:p>
            <w:r>
              <w:rPr>
                <w:b w:val="0"/>
                <w:sz w:val="17"/>
              </w:rPr>
            </w:r>
            <w:r>
              <w:rPr>
                <w:b w:val="0"/>
                <w:sz w:val="17"/>
              </w:rPr>
              <w:t>Anti-bribery</w:t>
            </w:r>
          </w:p>
        </w:tc>
        <w:tc>
          <w:tcPr>
            <w:tcW w:type="dxa" w:w="3216"/>
          </w:tcPr>
          <w:p>
            <w:r>
              <w:rPr>
                <w:b w:val="0"/>
                <w:sz w:val="17"/>
              </w:rPr>
            </w:r>
            <w:r>
              <w:rPr>
                <w:b w:val="0"/>
                <w:sz w:val="17"/>
              </w:rPr>
              <w:t>UK Bribery Act 2010 applies to Vytalix conduct abroad; Nigerian ICPC/EFCC laws; agents and "facilitators" need due diligence and written contracts</w:t>
            </w:r>
          </w:p>
        </w:tc>
        <w:tc>
          <w:tcPr>
            <w:tcW w:type="dxa" w:w="3216"/>
          </w:tcPr>
          <w:p>
            <w:r>
              <w:rPr>
                <w:b w:val="0"/>
                <w:sz w:val="17"/>
              </w:rPr>
            </w:r>
            <w:r>
              <w:rPr>
                <w:b w:val="0"/>
                <w:sz w:val="17"/>
              </w:rPr>
              <w:t>Policy §9.2 #13</w:t>
            </w:r>
          </w:p>
        </w:tc>
      </w:tr>
      <w:tr>
        <w:tc>
          <w:tcPr>
            <w:tcW w:type="dxa" w:w="3216"/>
          </w:tcPr>
          <w:p>
            <w:r>
              <w:rPr>
                <w:b w:val="0"/>
                <w:sz w:val="17"/>
              </w:rPr>
            </w:r>
            <w:r>
              <w:rPr>
                <w:b w:val="0"/>
                <w:sz w:val="17"/>
              </w:rPr>
              <w:t>Tax</w:t>
            </w:r>
          </w:p>
        </w:tc>
        <w:tc>
          <w:tcPr>
            <w:tcW w:type="dxa" w:w="3216"/>
          </w:tcPr>
          <w:p>
            <w:r>
              <w:rPr>
                <w:b w:val="0"/>
                <w:sz w:val="17"/>
              </w:rPr>
            </w:r>
            <w:r>
              <w:rPr>
                <w:b w:val="0"/>
                <w:sz w:val="17"/>
              </w:rPr>
              <w:t>Withholding tax on service fees paid from Nigeria (rates TO VALIDATE); UK–Nigeria double-tax treaty; VAT on digital services; permanent-establishment risk if founder works in-country for extended periods</w:t>
            </w:r>
          </w:p>
        </w:tc>
        <w:tc>
          <w:tcPr>
            <w:tcW w:type="dxa" w:w="3216"/>
          </w:tcPr>
          <w:p>
            <w:r>
              <w:rPr>
                <w:b w:val="0"/>
                <w:sz w:val="17"/>
              </w:rPr>
            </w:r>
            <w:r>
              <w:rPr>
                <w:b w:val="0"/>
                <w:sz w:val="17"/>
              </w:rPr>
              <w:t>[ACCOUNTANT] with Nigeria expertise</w:t>
            </w:r>
          </w:p>
        </w:tc>
      </w:tr>
      <w:tr>
        <w:tc>
          <w:tcPr>
            <w:tcW w:type="dxa" w:w="3216"/>
          </w:tcPr>
          <w:p>
            <w:r>
              <w:rPr>
                <w:b w:val="0"/>
                <w:sz w:val="17"/>
              </w:rPr>
            </w:r>
            <w:r>
              <w:rPr>
                <w:b w:val="0"/>
                <w:sz w:val="17"/>
              </w:rPr>
              <w:t>FX and payment</w:t>
            </w:r>
          </w:p>
        </w:tc>
        <w:tc>
          <w:tcPr>
            <w:tcW w:type="dxa" w:w="3216"/>
          </w:tcPr>
          <w:p>
            <w:r>
              <w:rPr>
                <w:b w:val="0"/>
                <w:sz w:val="17"/>
              </w:rPr>
            </w:r>
            <w:r>
              <w:rPr>
                <w:b w:val="0"/>
                <w:sz w:val="17"/>
              </w:rPr>
              <w:t>Invoice in GBP/USD; mobilisation ≥30% before work (sales engine §16); FX controls TO VALIDATE</w:t>
            </w:r>
          </w:p>
        </w:tc>
        <w:tc>
          <w:tcPr>
            <w:tcW w:type="dxa" w:w="3216"/>
          </w:tcPr>
          <w:p>
            <w:r>
              <w:rPr>
                <w:b w:val="0"/>
                <w:sz w:val="17"/>
              </w:rPr>
            </w:r>
            <w:r>
              <w:rPr>
                <w:b w:val="0"/>
                <w:sz w:val="17"/>
              </w:rPr>
              <w:t>—</w:t>
            </w:r>
          </w:p>
        </w:tc>
      </w:tr>
    </w:tbl>
    <w:p/>
    <w:p>
      <w:pPr>
        <w:pStyle w:val="Heading3"/>
      </w:pPr>
      <w:r>
        <w:t>12.2 South Africa (if scored as third market)</w:t>
      </w:r>
    </w:p>
    <w:p>
      <w:pPr>
        <w:pStyle w:val="ListBullet"/>
      </w:pPr>
      <w:r>
        <w:t>POPIA (in force 1 July 2021): Information Regulator; information-officer registration; special personal information (health) requires authorisation/consent conditions; cross-border transfer rules (s.72); prior authorisation for certain processing. Health Professions and NDoH digital-health strategy; SAHPRA for devices (software TO VALIDATE). [SOLICITOR] South African counsel.</w:t>
      </w:r>
    </w:p>
    <w:p>
      <w:pPr>
        <w:pStyle w:val="Heading3"/>
      </w:pPr>
      <w:r>
        <w:t>12.3 Kenya (if scored as third market)</w:t>
      </w:r>
    </w:p>
    <w:p>
      <w:pPr>
        <w:pStyle w:val="ListBullet"/>
      </w:pPr>
      <w:r>
        <w:t xml:space="preserve">Data Protection Act 2019: Office of the Data Protection Commissioner; </w:t>
      </w:r>
      <w:r>
        <w:rPr>
          <w:b/>
        </w:rPr>
        <w:t>registration of data controllers/processors</w:t>
      </w:r>
      <w:r>
        <w:t xml:space="preserve"> (mandatory above thresholds; fees TO VALIDATE); health data is sensitive personal data; Health Data Regulations; cross-border transfer conditions (s.48–49). Kenya Digital Health Act 2023 (TO VALIDATE current status) governs health information systems; Pharmacy and Poisons Board for devices. [SOLICITOR] Kenyan counsel.</w:t>
      </w:r>
    </w:p>
    <w:p>
      <w:pPr>
        <w:pStyle w:val="Heading3"/>
      </w:pPr>
      <w:r>
        <w:t>12.4 EU</w:t>
      </w:r>
    </w:p>
    <w:p>
      <w:pPr>
        <w:pStyle w:val="ListBullet"/>
      </w:pPr>
      <w:r>
        <w:t>Only relevant if EU customers/data: EU GDPR representative (Art. 27) if no EU establishment; EU AI Act (§5); EU MDR for devices; CE marking.</w:t>
      </w:r>
    </w:p>
    <w:p>
      <w:pPr>
        <w:pStyle w:val="Heading2"/>
      </w:pPr>
      <w:r>
        <w:t>13. Risk register (legal, regulatory and compliance)</w:t>
      </w:r>
    </w:p>
    <w:p>
      <w:r>
        <w:t>Scale: Likelihood L/M/H · Impact L/M/H · Score = L×I (1–9)</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7"/>
              </w:rPr>
            </w:r>
            <w:r>
              <w:rPr>
                <w:b/>
                <w:sz w:val="17"/>
              </w:rPr>
              <w:t>#</w:t>
            </w:r>
          </w:p>
        </w:tc>
        <w:tc>
          <w:tcPr>
            <w:tcW w:type="dxa" w:w="1206"/>
          </w:tcPr>
          <w:p>
            <w:r>
              <w:rPr>
                <w:b/>
                <w:sz w:val="17"/>
              </w:rPr>
            </w:r>
            <w:r>
              <w:rPr>
                <w:b/>
                <w:sz w:val="17"/>
              </w:rPr>
              <w:t>Risk</w:t>
            </w:r>
          </w:p>
        </w:tc>
        <w:tc>
          <w:tcPr>
            <w:tcW w:type="dxa" w:w="1206"/>
          </w:tcPr>
          <w:p>
            <w:r>
              <w:rPr>
                <w:b/>
                <w:sz w:val="17"/>
              </w:rPr>
            </w:r>
            <w:r>
              <w:rPr>
                <w:b/>
                <w:sz w:val="17"/>
              </w:rPr>
              <w:t>L</w:t>
            </w:r>
          </w:p>
        </w:tc>
        <w:tc>
          <w:tcPr>
            <w:tcW w:type="dxa" w:w="1206"/>
          </w:tcPr>
          <w:p>
            <w:r>
              <w:rPr>
                <w:b/>
                <w:sz w:val="17"/>
              </w:rPr>
            </w:r>
            <w:r>
              <w:rPr>
                <w:b/>
                <w:sz w:val="17"/>
              </w:rPr>
              <w:t>I</w:t>
            </w:r>
          </w:p>
        </w:tc>
        <w:tc>
          <w:tcPr>
            <w:tcW w:type="dxa" w:w="1206"/>
          </w:tcPr>
          <w:p>
            <w:r>
              <w:rPr>
                <w:b/>
                <w:sz w:val="17"/>
              </w:rPr>
            </w:r>
            <w:r>
              <w:rPr>
                <w:b/>
                <w:sz w:val="17"/>
              </w:rPr>
              <w:t>Score</w:t>
            </w:r>
          </w:p>
        </w:tc>
        <w:tc>
          <w:tcPr>
            <w:tcW w:type="dxa" w:w="1206"/>
          </w:tcPr>
          <w:p>
            <w:r>
              <w:rPr>
                <w:b/>
                <w:sz w:val="17"/>
              </w:rPr>
            </w:r>
            <w:r>
              <w:rPr>
                <w:b/>
                <w:sz w:val="17"/>
              </w:rPr>
              <w:t>Mitigation</w:t>
            </w:r>
          </w:p>
        </w:tc>
        <w:tc>
          <w:tcPr>
            <w:tcW w:type="dxa" w:w="1206"/>
          </w:tcPr>
          <w:p>
            <w:r>
              <w:rPr>
                <w:b/>
                <w:sz w:val="17"/>
              </w:rPr>
            </w:r>
            <w:r>
              <w:rPr>
                <w:b/>
                <w:sz w:val="17"/>
              </w:rPr>
              <w:t>Owner</w:t>
            </w:r>
          </w:p>
        </w:tc>
        <w:tc>
          <w:tcPr>
            <w:tcW w:type="dxa" w:w="1206"/>
          </w:tcPr>
          <w:p>
            <w:r>
              <w:rPr>
                <w:b/>
                <w:sz w:val="17"/>
              </w:rPr>
            </w:r>
            <w:r>
              <w:rPr>
                <w:b/>
                <w:sz w:val="17"/>
              </w:rPr>
              <w:t>Review</w:t>
            </w:r>
          </w:p>
        </w:tc>
      </w:tr>
      <w:tr>
        <w:tc>
          <w:tcPr>
            <w:tcW w:type="dxa" w:w="1206"/>
          </w:tcPr>
          <w:p>
            <w:r>
              <w:rPr>
                <w:b w:val="0"/>
                <w:sz w:val="17"/>
              </w:rPr>
            </w:r>
            <w:r>
              <w:rPr>
                <w:b w:val="0"/>
                <w:sz w:val="17"/>
              </w:rPr>
              <w:t>R1</w:t>
            </w:r>
          </w:p>
        </w:tc>
        <w:tc>
          <w:tcPr>
            <w:tcW w:type="dxa" w:w="1206"/>
          </w:tcPr>
          <w:p>
            <w:r>
              <w:rPr>
                <w:b w:val="0"/>
                <w:sz w:val="17"/>
              </w:rPr>
            </w:r>
            <w:r>
              <w:rPr>
                <w:b w:val="0"/>
                <w:sz w:val="17"/>
              </w:rPr>
              <w:t>MaternaLink IP dispute or no agreement with David Agunede</w:t>
            </w:r>
          </w:p>
        </w:tc>
        <w:tc>
          <w:tcPr>
            <w:tcW w:type="dxa" w:w="1206"/>
          </w:tcPr>
          <w:p>
            <w:r>
              <w:rPr>
                <w:b w:val="0"/>
                <w:sz w:val="17"/>
              </w:rPr>
            </w:r>
            <w:r>
              <w:rPr>
                <w:b w:val="0"/>
                <w:sz w:val="17"/>
              </w:rPr>
              <w:t>H</w:t>
            </w:r>
          </w:p>
        </w:tc>
        <w:tc>
          <w:tcPr>
            <w:tcW w:type="dxa" w:w="1206"/>
          </w:tcPr>
          <w:p>
            <w:r>
              <w:rPr>
                <w:b w:val="0"/>
                <w:sz w:val="17"/>
              </w:rPr>
            </w:r>
            <w:r>
              <w:rPr>
                <w:b w:val="0"/>
                <w:sz w:val="17"/>
              </w:rPr>
              <w:t>H</w:t>
            </w:r>
          </w:p>
        </w:tc>
        <w:tc>
          <w:tcPr>
            <w:tcW w:type="dxa" w:w="1206"/>
          </w:tcPr>
          <w:p>
            <w:r>
              <w:rPr>
                <w:b w:val="0"/>
                <w:sz w:val="17"/>
              </w:rPr>
            </w:r>
            <w:r>
              <w:rPr>
                <w:b w:val="0"/>
                <w:sz w:val="17"/>
              </w:rPr>
              <w:t>9</w:t>
            </w:r>
          </w:p>
        </w:tc>
        <w:tc>
          <w:tcPr>
            <w:tcW w:type="dxa" w:w="1206"/>
          </w:tcPr>
          <w:p>
            <w:r>
              <w:rPr>
                <w:b w:val="0"/>
                <w:sz w:val="17"/>
              </w:rPr>
            </w:r>
            <w:r>
              <w:rPr>
                <w:b w:val="0"/>
                <w:sz w:val="17"/>
              </w:rPr>
              <w:t>Heads of terms Day 7; solicitor Day 10; Option E fallback at Day 60</w:t>
            </w:r>
          </w:p>
        </w:tc>
        <w:tc>
          <w:tcPr>
            <w:tcW w:type="dxa" w:w="1206"/>
          </w:tcPr>
          <w:p>
            <w:r>
              <w:rPr>
                <w:b w:val="0"/>
                <w:sz w:val="17"/>
              </w:rPr>
            </w:r>
            <w:r>
              <w:rPr>
                <w:b w:val="0"/>
                <w:sz w:val="17"/>
              </w:rPr>
              <w:t>Founder</w:t>
            </w:r>
          </w:p>
        </w:tc>
        <w:tc>
          <w:tcPr>
            <w:tcW w:type="dxa" w:w="1206"/>
          </w:tcPr>
          <w:p>
            <w:r>
              <w:rPr>
                <w:b w:val="0"/>
                <w:sz w:val="17"/>
              </w:rPr>
            </w:r>
            <w:r>
              <w:rPr>
                <w:b w:val="0"/>
                <w:sz w:val="17"/>
              </w:rPr>
              <w:t>Weekly</w:t>
            </w:r>
          </w:p>
        </w:tc>
      </w:tr>
      <w:tr>
        <w:tc>
          <w:tcPr>
            <w:tcW w:type="dxa" w:w="1206"/>
          </w:tcPr>
          <w:p>
            <w:r>
              <w:rPr>
                <w:b w:val="0"/>
                <w:sz w:val="17"/>
              </w:rPr>
            </w:r>
            <w:r>
              <w:rPr>
                <w:b w:val="0"/>
                <w:sz w:val="17"/>
              </w:rPr>
              <w:t>R2</w:t>
            </w:r>
          </w:p>
        </w:tc>
        <w:tc>
          <w:tcPr>
            <w:tcW w:type="dxa" w:w="1206"/>
          </w:tcPr>
          <w:p>
            <w:r>
              <w:rPr>
                <w:b w:val="0"/>
                <w:sz w:val="17"/>
              </w:rPr>
            </w:r>
            <w:r>
              <w:rPr>
                <w:b w:val="0"/>
                <w:sz w:val="17"/>
              </w:rPr>
              <w:t>Name/trademark conflict forces rename or opposition</w:t>
            </w:r>
          </w:p>
        </w:tc>
        <w:tc>
          <w:tcPr>
            <w:tcW w:type="dxa" w:w="1206"/>
          </w:tcPr>
          <w:p>
            <w:r>
              <w:rPr>
                <w:b w:val="0"/>
                <w:sz w:val="17"/>
              </w:rPr>
            </w:r>
            <w:r>
              <w:rPr>
                <w:b w:val="0"/>
                <w:sz w:val="17"/>
              </w:rPr>
              <w:t>M</w:t>
            </w:r>
          </w:p>
        </w:tc>
        <w:tc>
          <w:tcPr>
            <w:tcW w:type="dxa" w:w="1206"/>
          </w:tcPr>
          <w:p>
            <w:r>
              <w:rPr>
                <w:b w:val="0"/>
                <w:sz w:val="17"/>
              </w:rPr>
            </w:r>
            <w:r>
              <w:rPr>
                <w:b w:val="0"/>
                <w:sz w:val="17"/>
              </w:rPr>
              <w:t>H</w:t>
            </w:r>
          </w:p>
        </w:tc>
        <w:tc>
          <w:tcPr>
            <w:tcW w:type="dxa" w:w="1206"/>
          </w:tcPr>
          <w:p>
            <w:r>
              <w:rPr>
                <w:b w:val="0"/>
                <w:sz w:val="17"/>
              </w:rPr>
            </w:r>
            <w:r>
              <w:rPr>
                <w:b w:val="0"/>
                <w:sz w:val="17"/>
              </w:rPr>
              <w:t>6</w:t>
            </w:r>
          </w:p>
        </w:tc>
        <w:tc>
          <w:tcPr>
            <w:tcW w:type="dxa" w:w="1206"/>
          </w:tcPr>
          <w:p>
            <w:r>
              <w:rPr>
                <w:b w:val="0"/>
                <w:sz w:val="17"/>
              </w:rPr>
            </w:r>
            <w:r>
              <w:rPr>
                <w:b w:val="0"/>
                <w:sz w:val="17"/>
              </w:rPr>
              <w:t>Clearance before spend; attorney opinion; rename plan</w:t>
            </w:r>
          </w:p>
        </w:tc>
        <w:tc>
          <w:tcPr>
            <w:tcW w:type="dxa" w:w="1206"/>
          </w:tcPr>
          <w:p>
            <w:r>
              <w:rPr>
                <w:b w:val="0"/>
                <w:sz w:val="17"/>
              </w:rPr>
            </w:r>
            <w:r>
              <w:rPr>
                <w:b w:val="0"/>
                <w:sz w:val="17"/>
              </w:rPr>
              <w:t>Founder</w:t>
            </w:r>
          </w:p>
        </w:tc>
        <w:tc>
          <w:tcPr>
            <w:tcW w:type="dxa" w:w="1206"/>
          </w:tcPr>
          <w:p>
            <w:r>
              <w:rPr>
                <w:b w:val="0"/>
                <w:sz w:val="17"/>
              </w:rPr>
            </w:r>
            <w:r>
              <w:rPr>
                <w:b w:val="0"/>
                <w:sz w:val="17"/>
              </w:rPr>
              <w:t>Day 5, then monthly</w:t>
            </w:r>
          </w:p>
        </w:tc>
      </w:tr>
      <w:tr>
        <w:tc>
          <w:tcPr>
            <w:tcW w:type="dxa" w:w="1206"/>
          </w:tcPr>
          <w:p>
            <w:r>
              <w:rPr>
                <w:b w:val="0"/>
                <w:sz w:val="17"/>
              </w:rPr>
            </w:r>
            <w:r>
              <w:rPr>
                <w:b w:val="0"/>
                <w:sz w:val="17"/>
              </w:rPr>
              <w:t>R3</w:t>
            </w:r>
          </w:p>
        </w:tc>
        <w:tc>
          <w:tcPr>
            <w:tcW w:type="dxa" w:w="1206"/>
          </w:tcPr>
          <w:p>
            <w:r>
              <w:rPr>
                <w:b w:val="0"/>
                <w:sz w:val="17"/>
              </w:rPr>
            </w:r>
            <w:r>
              <w:rPr>
                <w:b w:val="0"/>
                <w:sz w:val="17"/>
              </w:rPr>
              <w:t>Over-claiming (clinical/AI/partner) in materials or posts</w:t>
            </w:r>
          </w:p>
        </w:tc>
        <w:tc>
          <w:tcPr>
            <w:tcW w:type="dxa" w:w="1206"/>
          </w:tcPr>
          <w:p>
            <w:r>
              <w:rPr>
                <w:b w:val="0"/>
                <w:sz w:val="17"/>
              </w:rPr>
            </w:r>
            <w:r>
              <w:rPr>
                <w:b w:val="0"/>
                <w:sz w:val="17"/>
              </w:rPr>
              <w:t>M</w:t>
            </w:r>
          </w:p>
        </w:tc>
        <w:tc>
          <w:tcPr>
            <w:tcW w:type="dxa" w:w="1206"/>
          </w:tcPr>
          <w:p>
            <w:r>
              <w:rPr>
                <w:b w:val="0"/>
                <w:sz w:val="17"/>
              </w:rPr>
            </w:r>
            <w:r>
              <w:rPr>
                <w:b w:val="0"/>
                <w:sz w:val="17"/>
              </w:rPr>
              <w:t>H</w:t>
            </w:r>
          </w:p>
        </w:tc>
        <w:tc>
          <w:tcPr>
            <w:tcW w:type="dxa" w:w="1206"/>
          </w:tcPr>
          <w:p>
            <w:r>
              <w:rPr>
                <w:b w:val="0"/>
                <w:sz w:val="17"/>
              </w:rPr>
            </w:r>
            <w:r>
              <w:rPr>
                <w:b w:val="0"/>
                <w:sz w:val="17"/>
              </w:rPr>
              <w:t>6</w:t>
            </w:r>
          </w:p>
        </w:tc>
        <w:tc>
          <w:tcPr>
            <w:tcW w:type="dxa" w:w="1206"/>
          </w:tcPr>
          <w:p>
            <w:r>
              <w:rPr>
                <w:b w:val="0"/>
                <w:sz w:val="17"/>
              </w:rPr>
            </w:r>
            <w:r>
              <w:rPr>
                <w:b w:val="0"/>
                <w:sz w:val="17"/>
              </w:rPr>
              <w:t>FACTS_BASE language policy; deck review; claims sign-off</w:t>
            </w:r>
          </w:p>
        </w:tc>
        <w:tc>
          <w:tcPr>
            <w:tcW w:type="dxa" w:w="1206"/>
          </w:tcPr>
          <w:p>
            <w:r>
              <w:rPr>
                <w:b w:val="0"/>
                <w:sz w:val="17"/>
              </w:rPr>
            </w:r>
            <w:r>
              <w:rPr>
                <w:b w:val="0"/>
                <w:sz w:val="17"/>
              </w:rPr>
              <w:t>Founder</w:t>
            </w:r>
          </w:p>
        </w:tc>
        <w:tc>
          <w:tcPr>
            <w:tcW w:type="dxa" w:w="1206"/>
          </w:tcPr>
          <w:p>
            <w:r>
              <w:rPr>
                <w:b w:val="0"/>
                <w:sz w:val="17"/>
              </w:rPr>
            </w:r>
            <w:r>
              <w:rPr>
                <w:b w:val="0"/>
                <w:sz w:val="17"/>
              </w:rPr>
              <w:t>Every publication</w:t>
            </w:r>
          </w:p>
        </w:tc>
      </w:tr>
      <w:tr>
        <w:tc>
          <w:tcPr>
            <w:tcW w:type="dxa" w:w="1206"/>
          </w:tcPr>
          <w:p>
            <w:r>
              <w:rPr>
                <w:b w:val="0"/>
                <w:sz w:val="17"/>
              </w:rPr>
            </w:r>
            <w:r>
              <w:rPr>
                <w:b w:val="0"/>
                <w:sz w:val="17"/>
              </w:rPr>
              <w:t>R4</w:t>
            </w:r>
          </w:p>
        </w:tc>
        <w:tc>
          <w:tcPr>
            <w:tcW w:type="dxa" w:w="1206"/>
          </w:tcPr>
          <w:p>
            <w:r>
              <w:rPr>
                <w:b w:val="0"/>
                <w:sz w:val="17"/>
              </w:rPr>
            </w:r>
            <w:r>
              <w:rPr>
                <w:b w:val="0"/>
                <w:sz w:val="17"/>
              </w:rPr>
              <w:t>Feature creep makes MaternaLink a medical device without a pathway</w:t>
            </w:r>
          </w:p>
        </w:tc>
        <w:tc>
          <w:tcPr>
            <w:tcW w:type="dxa" w:w="1206"/>
          </w:tcPr>
          <w:p>
            <w:r>
              <w:rPr>
                <w:b w:val="0"/>
                <w:sz w:val="17"/>
              </w:rPr>
            </w:r>
            <w:r>
              <w:rPr>
                <w:b w:val="0"/>
                <w:sz w:val="17"/>
              </w:rPr>
              <w:t>M</w:t>
            </w:r>
          </w:p>
        </w:tc>
        <w:tc>
          <w:tcPr>
            <w:tcW w:type="dxa" w:w="1206"/>
          </w:tcPr>
          <w:p>
            <w:r>
              <w:rPr>
                <w:b w:val="0"/>
                <w:sz w:val="17"/>
              </w:rPr>
            </w:r>
            <w:r>
              <w:rPr>
                <w:b w:val="0"/>
                <w:sz w:val="17"/>
              </w:rPr>
              <w:t>H</w:t>
            </w:r>
          </w:p>
        </w:tc>
        <w:tc>
          <w:tcPr>
            <w:tcW w:type="dxa" w:w="1206"/>
          </w:tcPr>
          <w:p>
            <w:r>
              <w:rPr>
                <w:b w:val="0"/>
                <w:sz w:val="17"/>
              </w:rPr>
            </w:r>
            <w:r>
              <w:rPr>
                <w:b w:val="0"/>
                <w:sz w:val="17"/>
              </w:rPr>
              <w:t>6</w:t>
            </w:r>
          </w:p>
        </w:tc>
        <w:tc>
          <w:tcPr>
            <w:tcW w:type="dxa" w:w="1206"/>
          </w:tcPr>
          <w:p>
            <w:r>
              <w:rPr>
                <w:b w:val="0"/>
                <w:sz w:val="17"/>
              </w:rPr>
            </w:r>
            <w:r>
              <w:rPr>
                <w:b w:val="0"/>
                <w:sz w:val="17"/>
              </w:rPr>
              <w:t>Intended-use control; qualification decision; CSO countersign</w:t>
            </w:r>
          </w:p>
        </w:tc>
        <w:tc>
          <w:tcPr>
            <w:tcW w:type="dxa" w:w="1206"/>
          </w:tcPr>
          <w:p>
            <w:r>
              <w:rPr>
                <w:b w:val="0"/>
                <w:sz w:val="17"/>
              </w:rPr>
            </w:r>
            <w:r>
              <w:rPr>
                <w:b w:val="0"/>
                <w:sz w:val="17"/>
              </w:rPr>
              <w:t>Product lead + CSO</w:t>
            </w:r>
          </w:p>
        </w:tc>
        <w:tc>
          <w:tcPr>
            <w:tcW w:type="dxa" w:w="1206"/>
          </w:tcPr>
          <w:p>
            <w:r>
              <w:rPr>
                <w:b w:val="0"/>
                <w:sz w:val="17"/>
              </w:rPr>
            </w:r>
            <w:r>
              <w:rPr>
                <w:b w:val="0"/>
                <w:sz w:val="17"/>
              </w:rPr>
              <w:t>Each release</w:t>
            </w:r>
          </w:p>
        </w:tc>
      </w:tr>
      <w:tr>
        <w:tc>
          <w:tcPr>
            <w:tcW w:type="dxa" w:w="1206"/>
          </w:tcPr>
          <w:p>
            <w:r>
              <w:rPr>
                <w:b w:val="0"/>
                <w:sz w:val="17"/>
              </w:rPr>
            </w:r>
            <w:r>
              <w:rPr>
                <w:b w:val="0"/>
                <w:sz w:val="17"/>
              </w:rPr>
              <w:t>R5</w:t>
            </w:r>
          </w:p>
        </w:tc>
        <w:tc>
          <w:tcPr>
            <w:tcW w:type="dxa" w:w="1206"/>
          </w:tcPr>
          <w:p>
            <w:r>
              <w:rPr>
                <w:b w:val="0"/>
                <w:sz w:val="17"/>
              </w:rPr>
            </w:r>
            <w:r>
              <w:rPr>
                <w:b w:val="0"/>
                <w:sz w:val="17"/>
              </w:rPr>
              <w:t>Processing patient data without lawful basis/DPIA (e.g. prototype holding real data)</w:t>
            </w:r>
          </w:p>
        </w:tc>
        <w:tc>
          <w:tcPr>
            <w:tcW w:type="dxa" w:w="1206"/>
          </w:tcPr>
          <w:p>
            <w:r>
              <w:rPr>
                <w:b w:val="0"/>
                <w:sz w:val="17"/>
              </w:rPr>
            </w:r>
            <w:r>
              <w:rPr>
                <w:b w:val="0"/>
                <w:sz w:val="17"/>
              </w:rPr>
              <w:t>M</w:t>
            </w:r>
          </w:p>
        </w:tc>
        <w:tc>
          <w:tcPr>
            <w:tcW w:type="dxa" w:w="1206"/>
          </w:tcPr>
          <w:p>
            <w:r>
              <w:rPr>
                <w:b w:val="0"/>
                <w:sz w:val="17"/>
              </w:rPr>
            </w:r>
            <w:r>
              <w:rPr>
                <w:b w:val="0"/>
                <w:sz w:val="17"/>
              </w:rPr>
              <w:t>H</w:t>
            </w:r>
          </w:p>
        </w:tc>
        <w:tc>
          <w:tcPr>
            <w:tcW w:type="dxa" w:w="1206"/>
          </w:tcPr>
          <w:p>
            <w:r>
              <w:rPr>
                <w:b w:val="0"/>
                <w:sz w:val="17"/>
              </w:rPr>
            </w:r>
            <w:r>
              <w:rPr>
                <w:b w:val="0"/>
                <w:sz w:val="17"/>
              </w:rPr>
              <w:t>6</w:t>
            </w:r>
          </w:p>
        </w:tc>
        <w:tc>
          <w:tcPr>
            <w:tcW w:type="dxa" w:w="1206"/>
          </w:tcPr>
          <w:p>
            <w:r>
              <w:rPr>
                <w:b w:val="0"/>
                <w:sz w:val="17"/>
              </w:rPr>
            </w:r>
            <w:r>
              <w:rPr>
                <w:b w:val="0"/>
                <w:sz w:val="17"/>
              </w:rPr>
              <w:t>Prototype audit; no real data rule; DPIA before any deployment</w:t>
            </w:r>
          </w:p>
        </w:tc>
        <w:tc>
          <w:tcPr>
            <w:tcW w:type="dxa" w:w="1206"/>
          </w:tcPr>
          <w:p>
            <w:r>
              <w:rPr>
                <w:b w:val="0"/>
                <w:sz w:val="17"/>
              </w:rPr>
            </w:r>
            <w:r>
              <w:rPr>
                <w:b w:val="0"/>
                <w:sz w:val="17"/>
              </w:rPr>
              <w:t>Founder</w:t>
            </w:r>
          </w:p>
        </w:tc>
        <w:tc>
          <w:tcPr>
            <w:tcW w:type="dxa" w:w="1206"/>
          </w:tcPr>
          <w:p>
            <w:r>
              <w:rPr>
                <w:b w:val="0"/>
                <w:sz w:val="17"/>
              </w:rPr>
            </w:r>
            <w:r>
              <w:rPr>
                <w:b w:val="0"/>
                <w:sz w:val="17"/>
              </w:rPr>
              <w:t>Day 30</w:t>
            </w:r>
          </w:p>
        </w:tc>
      </w:tr>
      <w:tr>
        <w:tc>
          <w:tcPr>
            <w:tcW w:type="dxa" w:w="1206"/>
          </w:tcPr>
          <w:p>
            <w:r>
              <w:rPr>
                <w:b w:val="0"/>
                <w:sz w:val="17"/>
              </w:rPr>
            </w:r>
            <w:r>
              <w:rPr>
                <w:b w:val="0"/>
                <w:sz w:val="17"/>
              </w:rPr>
              <w:t>R6</w:t>
            </w:r>
          </w:p>
        </w:tc>
        <w:tc>
          <w:tcPr>
            <w:tcW w:type="dxa" w:w="1206"/>
          </w:tcPr>
          <w:p>
            <w:r>
              <w:rPr>
                <w:b w:val="0"/>
                <w:sz w:val="17"/>
              </w:rPr>
            </w:r>
            <w:r>
              <w:rPr>
                <w:b w:val="0"/>
                <w:sz w:val="17"/>
              </w:rPr>
              <w:t>Breach or security incident on a weak prototype</w:t>
            </w:r>
          </w:p>
        </w:tc>
        <w:tc>
          <w:tcPr>
            <w:tcW w:type="dxa" w:w="1206"/>
          </w:tcPr>
          <w:p>
            <w:r>
              <w:rPr>
                <w:b w:val="0"/>
                <w:sz w:val="17"/>
              </w:rPr>
            </w:r>
            <w:r>
              <w:rPr>
                <w:b w:val="0"/>
                <w:sz w:val="17"/>
              </w:rPr>
              <w:t>M</w:t>
            </w:r>
          </w:p>
        </w:tc>
        <w:tc>
          <w:tcPr>
            <w:tcW w:type="dxa" w:w="1206"/>
          </w:tcPr>
          <w:p>
            <w:r>
              <w:rPr>
                <w:b w:val="0"/>
                <w:sz w:val="17"/>
              </w:rPr>
            </w:r>
            <w:r>
              <w:rPr>
                <w:b w:val="0"/>
                <w:sz w:val="17"/>
              </w:rPr>
              <w:t>H</w:t>
            </w:r>
          </w:p>
        </w:tc>
        <w:tc>
          <w:tcPr>
            <w:tcW w:type="dxa" w:w="1206"/>
          </w:tcPr>
          <w:p>
            <w:r>
              <w:rPr>
                <w:b w:val="0"/>
                <w:sz w:val="17"/>
              </w:rPr>
            </w:r>
            <w:r>
              <w:rPr>
                <w:b w:val="0"/>
                <w:sz w:val="17"/>
              </w:rPr>
              <w:t>6</w:t>
            </w:r>
          </w:p>
        </w:tc>
        <w:tc>
          <w:tcPr>
            <w:tcW w:type="dxa" w:w="1206"/>
          </w:tcPr>
          <w:p>
            <w:r>
              <w:rPr>
                <w:b w:val="0"/>
                <w:sz w:val="17"/>
              </w:rPr>
            </w:r>
            <w:r>
              <w:rPr>
                <w:b w:val="0"/>
                <w:sz w:val="17"/>
              </w:rPr>
              <w:t>Move to controlled hosting; MFA; pen test; cyber insurance</w:t>
            </w:r>
          </w:p>
        </w:tc>
        <w:tc>
          <w:tcPr>
            <w:tcW w:type="dxa" w:w="1206"/>
          </w:tcPr>
          <w:p>
            <w:r>
              <w:rPr>
                <w:b w:val="0"/>
                <w:sz w:val="17"/>
              </w:rPr>
            </w:r>
            <w:r>
              <w:rPr>
                <w:b w:val="0"/>
                <w:sz w:val="17"/>
              </w:rPr>
              <w:t>Founder/CTO</w:t>
            </w:r>
          </w:p>
        </w:tc>
        <w:tc>
          <w:tcPr>
            <w:tcW w:type="dxa" w:w="1206"/>
          </w:tcPr>
          <w:p>
            <w:r>
              <w:rPr>
                <w:b w:val="0"/>
                <w:sz w:val="17"/>
              </w:rPr>
            </w:r>
            <w:r>
              <w:rPr>
                <w:b w:val="0"/>
                <w:sz w:val="17"/>
              </w:rPr>
              <w:t>Day 30</w:t>
            </w:r>
          </w:p>
        </w:tc>
      </w:tr>
      <w:tr>
        <w:tc>
          <w:tcPr>
            <w:tcW w:type="dxa" w:w="1206"/>
          </w:tcPr>
          <w:p>
            <w:r>
              <w:rPr>
                <w:b w:val="0"/>
                <w:sz w:val="17"/>
              </w:rPr>
            </w:r>
            <w:r>
              <w:rPr>
                <w:b w:val="0"/>
                <w:sz w:val="17"/>
              </w:rPr>
              <w:t>R7</w:t>
            </w:r>
          </w:p>
        </w:tc>
        <w:tc>
          <w:tcPr>
            <w:tcW w:type="dxa" w:w="1206"/>
          </w:tcPr>
          <w:p>
            <w:r>
              <w:rPr>
                <w:b w:val="0"/>
                <w:sz w:val="17"/>
              </w:rPr>
            </w:r>
            <w:r>
              <w:rPr>
                <w:b w:val="0"/>
                <w:sz w:val="17"/>
              </w:rPr>
              <w:t>Selling without entity/insurance → personal liability</w:t>
            </w:r>
          </w:p>
        </w:tc>
        <w:tc>
          <w:tcPr>
            <w:tcW w:type="dxa" w:w="1206"/>
          </w:tcPr>
          <w:p>
            <w:r>
              <w:rPr>
                <w:b w:val="0"/>
                <w:sz w:val="17"/>
              </w:rPr>
            </w:r>
            <w:r>
              <w:rPr>
                <w:b w:val="0"/>
                <w:sz w:val="17"/>
              </w:rPr>
              <w:t>H</w:t>
            </w:r>
          </w:p>
        </w:tc>
        <w:tc>
          <w:tcPr>
            <w:tcW w:type="dxa" w:w="1206"/>
          </w:tcPr>
          <w:p>
            <w:r>
              <w:rPr>
                <w:b w:val="0"/>
                <w:sz w:val="17"/>
              </w:rPr>
            </w:r>
            <w:r>
              <w:rPr>
                <w:b w:val="0"/>
                <w:sz w:val="17"/>
              </w:rPr>
              <w:t>M</w:t>
            </w:r>
          </w:p>
        </w:tc>
        <w:tc>
          <w:tcPr>
            <w:tcW w:type="dxa" w:w="1206"/>
          </w:tcPr>
          <w:p>
            <w:r>
              <w:rPr>
                <w:b w:val="0"/>
                <w:sz w:val="17"/>
              </w:rPr>
            </w:r>
            <w:r>
              <w:rPr>
                <w:b w:val="0"/>
                <w:sz w:val="17"/>
              </w:rPr>
              <w:t>6</w:t>
            </w:r>
          </w:p>
        </w:tc>
        <w:tc>
          <w:tcPr>
            <w:tcW w:type="dxa" w:w="1206"/>
          </w:tcPr>
          <w:p>
            <w:r>
              <w:rPr>
                <w:b w:val="0"/>
                <w:sz w:val="17"/>
              </w:rPr>
            </w:r>
            <w:r>
              <w:rPr>
                <w:b w:val="0"/>
                <w:sz w:val="17"/>
              </w:rPr>
              <w:t>Incorporate Day 14; PI before first engagement; short pre-incorporation contracts</w:t>
            </w:r>
          </w:p>
        </w:tc>
        <w:tc>
          <w:tcPr>
            <w:tcW w:type="dxa" w:w="1206"/>
          </w:tcPr>
          <w:p>
            <w:r>
              <w:rPr>
                <w:b w:val="0"/>
                <w:sz w:val="17"/>
              </w:rPr>
            </w:r>
            <w:r>
              <w:rPr>
                <w:b w:val="0"/>
                <w:sz w:val="17"/>
              </w:rPr>
              <w:t>Founder</w:t>
            </w:r>
          </w:p>
        </w:tc>
        <w:tc>
          <w:tcPr>
            <w:tcW w:type="dxa" w:w="1206"/>
          </w:tcPr>
          <w:p>
            <w:r>
              <w:rPr>
                <w:b w:val="0"/>
                <w:sz w:val="17"/>
              </w:rPr>
            </w:r>
            <w:r>
              <w:rPr>
                <w:b w:val="0"/>
                <w:sz w:val="17"/>
              </w:rPr>
              <w:t>Day 14</w:t>
            </w:r>
          </w:p>
        </w:tc>
      </w:tr>
      <w:tr>
        <w:tc>
          <w:tcPr>
            <w:tcW w:type="dxa" w:w="1206"/>
          </w:tcPr>
          <w:p>
            <w:r>
              <w:rPr>
                <w:b w:val="0"/>
                <w:sz w:val="17"/>
              </w:rPr>
            </w:r>
            <w:r>
              <w:rPr>
                <w:b w:val="0"/>
                <w:sz w:val="17"/>
              </w:rPr>
              <w:t>R8</w:t>
            </w:r>
          </w:p>
        </w:tc>
        <w:tc>
          <w:tcPr>
            <w:tcW w:type="dxa" w:w="1206"/>
          </w:tcPr>
          <w:p>
            <w:r>
              <w:rPr>
                <w:b w:val="0"/>
                <w:sz w:val="17"/>
              </w:rPr>
            </w:r>
            <w:r>
              <w:rPr>
                <w:b w:val="0"/>
                <w:sz w:val="17"/>
              </w:rPr>
              <w:t>Nigeria: NDPA non-registration, unlawful transfers, ethics gaps</w:t>
            </w:r>
          </w:p>
        </w:tc>
        <w:tc>
          <w:tcPr>
            <w:tcW w:type="dxa" w:w="1206"/>
          </w:tcPr>
          <w:p>
            <w:r>
              <w:rPr>
                <w:b w:val="0"/>
                <w:sz w:val="17"/>
              </w:rPr>
            </w:r>
            <w:r>
              <w:rPr>
                <w:b w:val="0"/>
                <w:sz w:val="17"/>
              </w:rPr>
              <w:t>M</w:t>
            </w:r>
          </w:p>
        </w:tc>
        <w:tc>
          <w:tcPr>
            <w:tcW w:type="dxa" w:w="1206"/>
          </w:tcPr>
          <w:p>
            <w:r>
              <w:rPr>
                <w:b w:val="0"/>
                <w:sz w:val="17"/>
              </w:rPr>
            </w:r>
            <w:r>
              <w:rPr>
                <w:b w:val="0"/>
                <w:sz w:val="17"/>
              </w:rPr>
              <w:t>M</w:t>
            </w:r>
          </w:p>
        </w:tc>
        <w:tc>
          <w:tcPr>
            <w:tcW w:type="dxa" w:w="1206"/>
          </w:tcPr>
          <w:p>
            <w:r>
              <w:rPr>
                <w:b w:val="0"/>
                <w:sz w:val="17"/>
              </w:rPr>
            </w:r>
            <w:r>
              <w:rPr>
                <w:b w:val="0"/>
                <w:sz w:val="17"/>
              </w:rPr>
              <w:t>4</w:t>
            </w:r>
          </w:p>
        </w:tc>
        <w:tc>
          <w:tcPr>
            <w:tcW w:type="dxa" w:w="1206"/>
          </w:tcPr>
          <w:p>
            <w:r>
              <w:rPr>
                <w:b w:val="0"/>
                <w:sz w:val="17"/>
              </w:rPr>
            </w:r>
            <w:r>
              <w:rPr>
                <w:b w:val="0"/>
                <w:sz w:val="17"/>
              </w:rPr>
              <w:t>Local partner; NDPC registration; in-country hosting; NHREC approval</w:t>
            </w:r>
          </w:p>
        </w:tc>
        <w:tc>
          <w:tcPr>
            <w:tcW w:type="dxa" w:w="1206"/>
          </w:tcPr>
          <w:p>
            <w:r>
              <w:rPr>
                <w:b w:val="0"/>
                <w:sz w:val="17"/>
              </w:rPr>
            </w:r>
            <w:r>
              <w:rPr>
                <w:b w:val="0"/>
                <w:sz w:val="17"/>
              </w:rPr>
              <w:t>Founder + counsel</w:t>
            </w:r>
          </w:p>
        </w:tc>
        <w:tc>
          <w:tcPr>
            <w:tcW w:type="dxa" w:w="1206"/>
          </w:tcPr>
          <w:p>
            <w:r>
              <w:rPr>
                <w:b w:val="0"/>
                <w:sz w:val="17"/>
              </w:rPr>
            </w:r>
            <w:r>
              <w:rPr>
                <w:b w:val="0"/>
                <w:sz w:val="17"/>
              </w:rPr>
              <w:t>Before pilot</w:t>
            </w:r>
          </w:p>
        </w:tc>
      </w:tr>
      <w:tr>
        <w:tc>
          <w:tcPr>
            <w:tcW w:type="dxa" w:w="1206"/>
          </w:tcPr>
          <w:p>
            <w:r>
              <w:rPr>
                <w:b w:val="0"/>
                <w:sz w:val="17"/>
              </w:rPr>
            </w:r>
            <w:r>
              <w:rPr>
                <w:b w:val="0"/>
                <w:sz w:val="17"/>
              </w:rPr>
              <w:t>R9</w:t>
            </w:r>
          </w:p>
        </w:tc>
        <w:tc>
          <w:tcPr>
            <w:tcW w:type="dxa" w:w="1206"/>
          </w:tcPr>
          <w:p>
            <w:r>
              <w:rPr>
                <w:b w:val="0"/>
                <w:sz w:val="17"/>
              </w:rPr>
            </w:r>
            <w:r>
              <w:rPr>
                <w:b w:val="0"/>
                <w:sz w:val="17"/>
              </w:rPr>
              <w:t>Bribery/agent risk in government sales</w:t>
            </w:r>
          </w:p>
        </w:tc>
        <w:tc>
          <w:tcPr>
            <w:tcW w:type="dxa" w:w="1206"/>
          </w:tcPr>
          <w:p>
            <w:r>
              <w:rPr>
                <w:b w:val="0"/>
                <w:sz w:val="17"/>
              </w:rPr>
            </w:r>
            <w:r>
              <w:rPr>
                <w:b w:val="0"/>
                <w:sz w:val="17"/>
              </w:rPr>
              <w:t>L</w:t>
            </w:r>
          </w:p>
        </w:tc>
        <w:tc>
          <w:tcPr>
            <w:tcW w:type="dxa" w:w="1206"/>
          </w:tcPr>
          <w:p>
            <w:r>
              <w:rPr>
                <w:b w:val="0"/>
                <w:sz w:val="17"/>
              </w:rPr>
            </w:r>
            <w:r>
              <w:rPr>
                <w:b w:val="0"/>
                <w:sz w:val="17"/>
              </w:rPr>
              <w:t>H</w:t>
            </w:r>
          </w:p>
        </w:tc>
        <w:tc>
          <w:tcPr>
            <w:tcW w:type="dxa" w:w="1206"/>
          </w:tcPr>
          <w:p>
            <w:r>
              <w:rPr>
                <w:b w:val="0"/>
                <w:sz w:val="17"/>
              </w:rPr>
            </w:r>
            <w:r>
              <w:rPr>
                <w:b w:val="0"/>
                <w:sz w:val="17"/>
              </w:rPr>
              <w:t>3</w:t>
            </w:r>
          </w:p>
        </w:tc>
        <w:tc>
          <w:tcPr>
            <w:tcW w:type="dxa" w:w="1206"/>
          </w:tcPr>
          <w:p>
            <w:r>
              <w:rPr>
                <w:b w:val="0"/>
                <w:sz w:val="17"/>
              </w:rPr>
            </w:r>
            <w:r>
              <w:rPr>
                <w:b w:val="0"/>
                <w:sz w:val="17"/>
              </w:rPr>
              <w:t>Policy; due diligence; no agents on success fees without counsel</w:t>
            </w:r>
          </w:p>
        </w:tc>
        <w:tc>
          <w:tcPr>
            <w:tcW w:type="dxa" w:w="1206"/>
          </w:tcPr>
          <w:p>
            <w:r>
              <w:rPr>
                <w:b w:val="0"/>
                <w:sz w:val="17"/>
              </w:rPr>
            </w:r>
            <w:r>
              <w:rPr>
                <w:b w:val="0"/>
                <w:sz w:val="17"/>
              </w:rPr>
              <w:t>Founder</w:t>
            </w:r>
          </w:p>
        </w:tc>
        <w:tc>
          <w:tcPr>
            <w:tcW w:type="dxa" w:w="1206"/>
          </w:tcPr>
          <w:p>
            <w:r>
              <w:rPr>
                <w:b w:val="0"/>
                <w:sz w:val="17"/>
              </w:rPr>
            </w:r>
            <w:r>
              <w:rPr>
                <w:b w:val="0"/>
                <w:sz w:val="17"/>
              </w:rPr>
              <w:t>Before any agent</w:t>
            </w:r>
          </w:p>
        </w:tc>
      </w:tr>
      <w:tr>
        <w:tc>
          <w:tcPr>
            <w:tcW w:type="dxa" w:w="1206"/>
          </w:tcPr>
          <w:p>
            <w:r>
              <w:rPr>
                <w:b w:val="0"/>
                <w:sz w:val="17"/>
              </w:rPr>
            </w:r>
            <w:r>
              <w:rPr>
                <w:b w:val="0"/>
                <w:sz w:val="17"/>
              </w:rPr>
              <w:t>R10</w:t>
            </w:r>
          </w:p>
        </w:tc>
        <w:tc>
          <w:tcPr>
            <w:tcW w:type="dxa" w:w="1206"/>
          </w:tcPr>
          <w:p>
            <w:r>
              <w:rPr>
                <w:b w:val="0"/>
                <w:sz w:val="17"/>
              </w:rPr>
            </w:r>
            <w:r>
              <w:rPr>
                <w:b w:val="0"/>
                <w:sz w:val="17"/>
              </w:rPr>
              <w:t>IR35 / employment-status misclassification of associates</w:t>
            </w:r>
          </w:p>
        </w:tc>
        <w:tc>
          <w:tcPr>
            <w:tcW w:type="dxa" w:w="1206"/>
          </w:tcPr>
          <w:p>
            <w:r>
              <w:rPr>
                <w:b w:val="0"/>
                <w:sz w:val="17"/>
              </w:rPr>
            </w:r>
            <w:r>
              <w:rPr>
                <w:b w:val="0"/>
                <w:sz w:val="17"/>
              </w:rPr>
              <w:t>M</w:t>
            </w:r>
          </w:p>
        </w:tc>
        <w:tc>
          <w:tcPr>
            <w:tcW w:type="dxa" w:w="1206"/>
          </w:tcPr>
          <w:p>
            <w:r>
              <w:rPr>
                <w:b w:val="0"/>
                <w:sz w:val="17"/>
              </w:rPr>
            </w:r>
            <w:r>
              <w:rPr>
                <w:b w:val="0"/>
                <w:sz w:val="17"/>
              </w:rPr>
              <w:t>M</w:t>
            </w:r>
          </w:p>
        </w:tc>
        <w:tc>
          <w:tcPr>
            <w:tcW w:type="dxa" w:w="1206"/>
          </w:tcPr>
          <w:p>
            <w:r>
              <w:rPr>
                <w:b w:val="0"/>
                <w:sz w:val="17"/>
              </w:rPr>
            </w:r>
            <w:r>
              <w:rPr>
                <w:b w:val="0"/>
                <w:sz w:val="17"/>
              </w:rPr>
              <w:t>4</w:t>
            </w:r>
          </w:p>
        </w:tc>
        <w:tc>
          <w:tcPr>
            <w:tcW w:type="dxa" w:w="1206"/>
          </w:tcPr>
          <w:p>
            <w:r>
              <w:rPr>
                <w:b w:val="0"/>
                <w:sz w:val="17"/>
              </w:rPr>
            </w:r>
            <w:r>
              <w:rPr>
                <w:b w:val="0"/>
                <w:sz w:val="17"/>
              </w:rPr>
              <w:t>Status determinations; written contracts; accountant advice</w:t>
            </w:r>
          </w:p>
        </w:tc>
        <w:tc>
          <w:tcPr>
            <w:tcW w:type="dxa" w:w="1206"/>
          </w:tcPr>
          <w:p>
            <w:r>
              <w:rPr>
                <w:b w:val="0"/>
                <w:sz w:val="17"/>
              </w:rPr>
            </w:r>
            <w:r>
              <w:rPr>
                <w:b w:val="0"/>
                <w:sz w:val="17"/>
              </w:rPr>
              <w:t>Founder</w:t>
            </w:r>
          </w:p>
        </w:tc>
        <w:tc>
          <w:tcPr>
            <w:tcW w:type="dxa" w:w="1206"/>
          </w:tcPr>
          <w:p>
            <w:r>
              <w:rPr>
                <w:b w:val="0"/>
                <w:sz w:val="17"/>
              </w:rPr>
            </w:r>
            <w:r>
              <w:rPr>
                <w:b w:val="0"/>
                <w:sz w:val="17"/>
              </w:rPr>
              <w:t>Per associate</w:t>
            </w:r>
          </w:p>
        </w:tc>
      </w:tr>
      <w:tr>
        <w:tc>
          <w:tcPr>
            <w:tcW w:type="dxa" w:w="1206"/>
          </w:tcPr>
          <w:p>
            <w:r>
              <w:rPr>
                <w:b w:val="0"/>
                <w:sz w:val="17"/>
              </w:rPr>
            </w:r>
            <w:r>
              <w:rPr>
                <w:b w:val="0"/>
                <w:sz w:val="17"/>
              </w:rPr>
              <w:t>R11</w:t>
            </w:r>
          </w:p>
        </w:tc>
        <w:tc>
          <w:tcPr>
            <w:tcW w:type="dxa" w:w="1206"/>
          </w:tcPr>
          <w:p>
            <w:r>
              <w:rPr>
                <w:b w:val="0"/>
                <w:sz w:val="17"/>
              </w:rPr>
            </w:r>
            <w:r>
              <w:rPr>
                <w:b w:val="0"/>
                <w:sz w:val="17"/>
              </w:rPr>
              <w:t>Consumer-law breach in e-learning sales</w:t>
            </w:r>
          </w:p>
        </w:tc>
        <w:tc>
          <w:tcPr>
            <w:tcW w:type="dxa" w:w="1206"/>
          </w:tcPr>
          <w:p>
            <w:r>
              <w:rPr>
                <w:b w:val="0"/>
                <w:sz w:val="17"/>
              </w:rPr>
            </w:r>
            <w:r>
              <w:rPr>
                <w:b w:val="0"/>
                <w:sz w:val="17"/>
              </w:rPr>
              <w:t>L</w:t>
            </w:r>
          </w:p>
        </w:tc>
        <w:tc>
          <w:tcPr>
            <w:tcW w:type="dxa" w:w="1206"/>
          </w:tcPr>
          <w:p>
            <w:r>
              <w:rPr>
                <w:b w:val="0"/>
                <w:sz w:val="17"/>
              </w:rPr>
            </w:r>
            <w:r>
              <w:rPr>
                <w:b w:val="0"/>
                <w:sz w:val="17"/>
              </w:rPr>
              <w:t>M</w:t>
            </w:r>
          </w:p>
        </w:tc>
        <w:tc>
          <w:tcPr>
            <w:tcW w:type="dxa" w:w="1206"/>
          </w:tcPr>
          <w:p>
            <w:r>
              <w:rPr>
                <w:b w:val="0"/>
                <w:sz w:val="17"/>
              </w:rPr>
            </w:r>
            <w:r>
              <w:rPr>
                <w:b w:val="0"/>
                <w:sz w:val="17"/>
              </w:rPr>
              <w:t>2</w:t>
            </w:r>
          </w:p>
        </w:tc>
        <w:tc>
          <w:tcPr>
            <w:tcW w:type="dxa" w:w="1206"/>
          </w:tcPr>
          <w:p>
            <w:r>
              <w:rPr>
                <w:b w:val="0"/>
                <w:sz w:val="17"/>
              </w:rPr>
            </w:r>
            <w:r>
              <w:rPr>
                <w:b w:val="0"/>
                <w:sz w:val="17"/>
              </w:rPr>
              <w:t>Terms reviewed; cancellation rights; no accreditation claims</w:t>
            </w:r>
          </w:p>
        </w:tc>
        <w:tc>
          <w:tcPr>
            <w:tcW w:type="dxa" w:w="1206"/>
          </w:tcPr>
          <w:p>
            <w:r>
              <w:rPr>
                <w:b w:val="0"/>
                <w:sz w:val="17"/>
              </w:rPr>
            </w:r>
            <w:r>
              <w:rPr>
                <w:b w:val="0"/>
                <w:sz w:val="17"/>
              </w:rPr>
              <w:t>Founder</w:t>
            </w:r>
          </w:p>
        </w:tc>
        <w:tc>
          <w:tcPr>
            <w:tcW w:type="dxa" w:w="1206"/>
          </w:tcPr>
          <w:p>
            <w:r>
              <w:rPr>
                <w:b w:val="0"/>
                <w:sz w:val="17"/>
              </w:rPr>
            </w:r>
            <w:r>
              <w:rPr>
                <w:b w:val="0"/>
                <w:sz w:val="17"/>
              </w:rPr>
              <w:t>Before launch</w:t>
            </w:r>
          </w:p>
        </w:tc>
      </w:tr>
      <w:tr>
        <w:tc>
          <w:tcPr>
            <w:tcW w:type="dxa" w:w="1206"/>
          </w:tcPr>
          <w:p>
            <w:r>
              <w:rPr>
                <w:b w:val="0"/>
                <w:sz w:val="17"/>
              </w:rPr>
            </w:r>
            <w:r>
              <w:rPr>
                <w:b w:val="0"/>
                <w:sz w:val="17"/>
              </w:rPr>
              <w:t>R12</w:t>
            </w:r>
          </w:p>
        </w:tc>
        <w:tc>
          <w:tcPr>
            <w:tcW w:type="dxa" w:w="1206"/>
          </w:tcPr>
          <w:p>
            <w:r>
              <w:rPr>
                <w:b w:val="0"/>
                <w:sz w:val="17"/>
              </w:rPr>
            </w:r>
            <w:r>
              <w:rPr>
                <w:b w:val="0"/>
                <w:sz w:val="17"/>
              </w:rPr>
              <w:t>SEIS/EIS eligibility lost through structure or activity</w:t>
            </w:r>
          </w:p>
        </w:tc>
        <w:tc>
          <w:tcPr>
            <w:tcW w:type="dxa" w:w="1206"/>
          </w:tcPr>
          <w:p>
            <w:r>
              <w:rPr>
                <w:b w:val="0"/>
                <w:sz w:val="17"/>
              </w:rPr>
            </w:r>
            <w:r>
              <w:rPr>
                <w:b w:val="0"/>
                <w:sz w:val="17"/>
              </w:rPr>
              <w:t>M</w:t>
            </w:r>
          </w:p>
        </w:tc>
        <w:tc>
          <w:tcPr>
            <w:tcW w:type="dxa" w:w="1206"/>
          </w:tcPr>
          <w:p>
            <w:r>
              <w:rPr>
                <w:b w:val="0"/>
                <w:sz w:val="17"/>
              </w:rPr>
            </w:r>
            <w:r>
              <w:rPr>
                <w:b w:val="0"/>
                <w:sz w:val="17"/>
              </w:rPr>
              <w:t>M</w:t>
            </w:r>
          </w:p>
        </w:tc>
        <w:tc>
          <w:tcPr>
            <w:tcW w:type="dxa" w:w="1206"/>
          </w:tcPr>
          <w:p>
            <w:r>
              <w:rPr>
                <w:b w:val="0"/>
                <w:sz w:val="17"/>
              </w:rPr>
            </w:r>
            <w:r>
              <w:rPr>
                <w:b w:val="0"/>
                <w:sz w:val="17"/>
              </w:rPr>
              <w:t>4</w:t>
            </w:r>
          </w:p>
        </w:tc>
        <w:tc>
          <w:tcPr>
            <w:tcW w:type="dxa" w:w="1206"/>
          </w:tcPr>
          <w:p>
            <w:r>
              <w:rPr>
                <w:b w:val="0"/>
                <w:sz w:val="17"/>
              </w:rPr>
            </w:r>
            <w:r>
              <w:rPr>
                <w:b w:val="0"/>
                <w:sz w:val="17"/>
              </w:rPr>
              <w:t>Advance assurance; accountant review before any non-qualifying activity</w:t>
            </w:r>
          </w:p>
        </w:tc>
        <w:tc>
          <w:tcPr>
            <w:tcW w:type="dxa" w:w="1206"/>
          </w:tcPr>
          <w:p>
            <w:r>
              <w:rPr>
                <w:b w:val="0"/>
                <w:sz w:val="17"/>
              </w:rPr>
            </w:r>
            <w:r>
              <w:rPr>
                <w:b w:val="0"/>
                <w:sz w:val="17"/>
              </w:rPr>
              <w:t>Accountant</w:t>
            </w:r>
          </w:p>
        </w:tc>
        <w:tc>
          <w:tcPr>
            <w:tcW w:type="dxa" w:w="1206"/>
          </w:tcPr>
          <w:p>
            <w:r>
              <w:rPr>
                <w:b w:val="0"/>
                <w:sz w:val="17"/>
              </w:rPr>
            </w:r>
            <w:r>
              <w:rPr>
                <w:b w:val="0"/>
                <w:sz w:val="17"/>
              </w:rPr>
              <w:t>On incorporation</w:t>
            </w:r>
          </w:p>
        </w:tc>
      </w:tr>
      <w:tr>
        <w:tc>
          <w:tcPr>
            <w:tcW w:type="dxa" w:w="1206"/>
          </w:tcPr>
          <w:p>
            <w:r>
              <w:rPr>
                <w:b w:val="0"/>
                <w:sz w:val="17"/>
              </w:rPr>
            </w:r>
            <w:r>
              <w:rPr>
                <w:b w:val="0"/>
                <w:sz w:val="17"/>
              </w:rPr>
              <w:t>R13</w:t>
            </w:r>
          </w:p>
        </w:tc>
        <w:tc>
          <w:tcPr>
            <w:tcW w:type="dxa" w:w="1206"/>
          </w:tcPr>
          <w:p>
            <w:r>
              <w:rPr>
                <w:b w:val="0"/>
                <w:sz w:val="17"/>
              </w:rPr>
            </w:r>
            <w:r>
              <w:rPr>
                <w:b w:val="0"/>
                <w:sz w:val="17"/>
              </w:rPr>
              <w:t>Contractor code with incompatible open-source licences</w:t>
            </w:r>
          </w:p>
        </w:tc>
        <w:tc>
          <w:tcPr>
            <w:tcW w:type="dxa" w:w="1206"/>
          </w:tcPr>
          <w:p>
            <w:r>
              <w:rPr>
                <w:b w:val="0"/>
                <w:sz w:val="17"/>
              </w:rPr>
            </w:r>
            <w:r>
              <w:rPr>
                <w:b w:val="0"/>
                <w:sz w:val="17"/>
              </w:rPr>
              <w:t>M</w:t>
            </w:r>
          </w:p>
        </w:tc>
        <w:tc>
          <w:tcPr>
            <w:tcW w:type="dxa" w:w="1206"/>
          </w:tcPr>
          <w:p>
            <w:r>
              <w:rPr>
                <w:b w:val="0"/>
                <w:sz w:val="17"/>
              </w:rPr>
            </w:r>
            <w:r>
              <w:rPr>
                <w:b w:val="0"/>
                <w:sz w:val="17"/>
              </w:rPr>
              <w:t>M</w:t>
            </w:r>
          </w:p>
        </w:tc>
        <w:tc>
          <w:tcPr>
            <w:tcW w:type="dxa" w:w="1206"/>
          </w:tcPr>
          <w:p>
            <w:r>
              <w:rPr>
                <w:b w:val="0"/>
                <w:sz w:val="17"/>
              </w:rPr>
            </w:r>
            <w:r>
              <w:rPr>
                <w:b w:val="0"/>
                <w:sz w:val="17"/>
              </w:rPr>
              <w:t>4</w:t>
            </w:r>
          </w:p>
        </w:tc>
        <w:tc>
          <w:tcPr>
            <w:tcW w:type="dxa" w:w="1206"/>
          </w:tcPr>
          <w:p>
            <w:r>
              <w:rPr>
                <w:b w:val="0"/>
                <w:sz w:val="17"/>
              </w:rPr>
            </w:r>
            <w:r>
              <w:rPr>
                <w:b w:val="0"/>
                <w:sz w:val="17"/>
              </w:rPr>
              <w:t>Licence policy; scanning; contractor warranties</w:t>
            </w:r>
          </w:p>
        </w:tc>
        <w:tc>
          <w:tcPr>
            <w:tcW w:type="dxa" w:w="1206"/>
          </w:tcPr>
          <w:p>
            <w:r>
              <w:rPr>
                <w:b w:val="0"/>
                <w:sz w:val="17"/>
              </w:rPr>
            </w:r>
            <w:r>
              <w:rPr>
                <w:b w:val="0"/>
                <w:sz w:val="17"/>
              </w:rPr>
              <w:t>CTO</w:t>
            </w:r>
          </w:p>
        </w:tc>
        <w:tc>
          <w:tcPr>
            <w:tcW w:type="dxa" w:w="1206"/>
          </w:tcPr>
          <w:p>
            <w:r>
              <w:rPr>
                <w:b w:val="0"/>
                <w:sz w:val="17"/>
              </w:rPr>
            </w:r>
            <w:r>
              <w:rPr>
                <w:b w:val="0"/>
                <w:sz w:val="17"/>
              </w:rPr>
              <w:t>Each release</w:t>
            </w:r>
          </w:p>
        </w:tc>
      </w:tr>
      <w:tr>
        <w:tc>
          <w:tcPr>
            <w:tcW w:type="dxa" w:w="1206"/>
          </w:tcPr>
          <w:p>
            <w:r>
              <w:rPr>
                <w:b w:val="0"/>
                <w:sz w:val="17"/>
              </w:rPr>
            </w:r>
            <w:r>
              <w:rPr>
                <w:b w:val="0"/>
                <w:sz w:val="17"/>
              </w:rPr>
              <w:t>R14</w:t>
            </w:r>
          </w:p>
        </w:tc>
        <w:tc>
          <w:tcPr>
            <w:tcW w:type="dxa" w:w="1206"/>
          </w:tcPr>
          <w:p>
            <w:r>
              <w:rPr>
                <w:b w:val="0"/>
                <w:sz w:val="17"/>
              </w:rPr>
            </w:r>
            <w:r>
              <w:rPr>
                <w:b w:val="0"/>
                <w:sz w:val="17"/>
              </w:rPr>
              <w:t>Conflicts of interest with founder's other venture (Kemek)</w:t>
            </w:r>
          </w:p>
        </w:tc>
        <w:tc>
          <w:tcPr>
            <w:tcW w:type="dxa" w:w="1206"/>
          </w:tcPr>
          <w:p>
            <w:r>
              <w:rPr>
                <w:b w:val="0"/>
                <w:sz w:val="17"/>
              </w:rPr>
            </w:r>
            <w:r>
              <w:rPr>
                <w:b w:val="0"/>
                <w:sz w:val="17"/>
              </w:rPr>
              <w:t>M</w:t>
            </w:r>
          </w:p>
        </w:tc>
        <w:tc>
          <w:tcPr>
            <w:tcW w:type="dxa" w:w="1206"/>
          </w:tcPr>
          <w:p>
            <w:r>
              <w:rPr>
                <w:b w:val="0"/>
                <w:sz w:val="17"/>
              </w:rPr>
            </w:r>
            <w:r>
              <w:rPr>
                <w:b w:val="0"/>
                <w:sz w:val="17"/>
              </w:rPr>
              <w:t>L</w:t>
            </w:r>
          </w:p>
        </w:tc>
        <w:tc>
          <w:tcPr>
            <w:tcW w:type="dxa" w:w="1206"/>
          </w:tcPr>
          <w:p>
            <w:r>
              <w:rPr>
                <w:b w:val="0"/>
                <w:sz w:val="17"/>
              </w:rPr>
            </w:r>
            <w:r>
              <w:rPr>
                <w:b w:val="0"/>
                <w:sz w:val="17"/>
              </w:rPr>
              <w:t>2</w:t>
            </w:r>
          </w:p>
        </w:tc>
        <w:tc>
          <w:tcPr>
            <w:tcW w:type="dxa" w:w="1206"/>
          </w:tcPr>
          <w:p>
            <w:r>
              <w:rPr>
                <w:b w:val="0"/>
                <w:sz w:val="17"/>
              </w:rPr>
            </w:r>
            <w:r>
              <w:rPr>
                <w:b w:val="0"/>
                <w:sz w:val="17"/>
              </w:rPr>
              <w:t>Register; time-allocation rule; separate CRMs</w:t>
            </w:r>
          </w:p>
        </w:tc>
        <w:tc>
          <w:tcPr>
            <w:tcW w:type="dxa" w:w="1206"/>
          </w:tcPr>
          <w:p>
            <w:r>
              <w:rPr>
                <w:b w:val="0"/>
                <w:sz w:val="17"/>
              </w:rPr>
            </w:r>
            <w:r>
              <w:rPr>
                <w:b w:val="0"/>
                <w:sz w:val="17"/>
              </w:rPr>
              <w:t>Founder</w:t>
            </w:r>
          </w:p>
        </w:tc>
        <w:tc>
          <w:tcPr>
            <w:tcW w:type="dxa" w:w="1206"/>
          </w:tcPr>
          <w:p>
            <w:r>
              <w:rPr>
                <w:b w:val="0"/>
                <w:sz w:val="17"/>
              </w:rPr>
            </w:r>
            <w:r>
              <w:rPr>
                <w:b w:val="0"/>
                <w:sz w:val="17"/>
              </w:rPr>
              <w:t>Quarterly</w:t>
            </w:r>
          </w:p>
        </w:tc>
      </w:tr>
      <w:tr>
        <w:tc>
          <w:tcPr>
            <w:tcW w:type="dxa" w:w="1206"/>
          </w:tcPr>
          <w:p>
            <w:r>
              <w:rPr>
                <w:b w:val="0"/>
                <w:sz w:val="17"/>
              </w:rPr>
            </w:r>
            <w:r>
              <w:rPr>
                <w:b w:val="0"/>
                <w:sz w:val="17"/>
              </w:rPr>
              <w:t>R15</w:t>
            </w:r>
          </w:p>
        </w:tc>
        <w:tc>
          <w:tcPr>
            <w:tcW w:type="dxa" w:w="1206"/>
          </w:tcPr>
          <w:p>
            <w:r>
              <w:rPr>
                <w:b w:val="0"/>
                <w:sz w:val="17"/>
              </w:rPr>
            </w:r>
            <w:r>
              <w:rPr>
                <w:b w:val="0"/>
                <w:sz w:val="17"/>
              </w:rPr>
              <w:t>Regulatory change (MHRA 2026 reform, DUAA, NDPA guidance)</w:t>
            </w:r>
          </w:p>
        </w:tc>
        <w:tc>
          <w:tcPr>
            <w:tcW w:type="dxa" w:w="1206"/>
          </w:tcPr>
          <w:p>
            <w:r>
              <w:rPr>
                <w:b w:val="0"/>
                <w:sz w:val="17"/>
              </w:rPr>
            </w:r>
            <w:r>
              <w:rPr>
                <w:b w:val="0"/>
                <w:sz w:val="17"/>
              </w:rPr>
              <w:t>H</w:t>
            </w:r>
          </w:p>
        </w:tc>
        <w:tc>
          <w:tcPr>
            <w:tcW w:type="dxa" w:w="1206"/>
          </w:tcPr>
          <w:p>
            <w:r>
              <w:rPr>
                <w:b w:val="0"/>
                <w:sz w:val="17"/>
              </w:rPr>
            </w:r>
            <w:r>
              <w:rPr>
                <w:b w:val="0"/>
                <w:sz w:val="17"/>
              </w:rPr>
              <w:t>M</w:t>
            </w:r>
          </w:p>
        </w:tc>
        <w:tc>
          <w:tcPr>
            <w:tcW w:type="dxa" w:w="1206"/>
          </w:tcPr>
          <w:p>
            <w:r>
              <w:rPr>
                <w:b w:val="0"/>
                <w:sz w:val="17"/>
              </w:rPr>
            </w:r>
            <w:r>
              <w:rPr>
                <w:b w:val="0"/>
                <w:sz w:val="17"/>
              </w:rPr>
              <w:t>6</w:t>
            </w:r>
          </w:p>
        </w:tc>
        <w:tc>
          <w:tcPr>
            <w:tcW w:type="dxa" w:w="1206"/>
          </w:tcPr>
          <w:p>
            <w:r>
              <w:rPr>
                <w:b w:val="0"/>
                <w:sz w:val="17"/>
              </w:rPr>
            </w:r>
            <w:r>
              <w:rPr>
                <w:b w:val="0"/>
                <w:sz w:val="17"/>
              </w:rPr>
              <w:t>Quarterly regulatory watch; adviser check before each major release</w:t>
            </w:r>
          </w:p>
        </w:tc>
        <w:tc>
          <w:tcPr>
            <w:tcW w:type="dxa" w:w="1206"/>
          </w:tcPr>
          <w:p>
            <w:r>
              <w:rPr>
                <w:b w:val="0"/>
                <w:sz w:val="17"/>
              </w:rPr>
            </w:r>
            <w:r>
              <w:rPr>
                <w:b w:val="0"/>
                <w:sz w:val="17"/>
              </w:rPr>
              <w:t>Founder</w:t>
            </w:r>
          </w:p>
        </w:tc>
        <w:tc>
          <w:tcPr>
            <w:tcW w:type="dxa" w:w="1206"/>
          </w:tcPr>
          <w:p>
            <w:r>
              <w:rPr>
                <w:b w:val="0"/>
                <w:sz w:val="17"/>
              </w:rPr>
            </w:r>
            <w:r>
              <w:rPr>
                <w:b w:val="0"/>
                <w:sz w:val="17"/>
              </w:rPr>
              <w:t>Quarterly</w:t>
            </w:r>
          </w:p>
        </w:tc>
      </w:tr>
    </w:tbl>
    <w:p/>
    <w:p>
      <w:pPr>
        <w:pStyle w:val="Heading2"/>
      </w:pPr>
      <w:r>
        <w:t>14. Compliance calendar (first 12 months)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When</w:t>
            </w:r>
          </w:p>
        </w:tc>
        <w:tc>
          <w:tcPr>
            <w:tcW w:type="dxa" w:w="2412"/>
          </w:tcPr>
          <w:p>
            <w:r>
              <w:rPr>
                <w:b/>
                <w:sz w:val="17"/>
              </w:rPr>
            </w:r>
            <w:r>
              <w:rPr>
                <w:b/>
                <w:sz w:val="17"/>
              </w:rPr>
              <w:t>Action</w:t>
            </w:r>
          </w:p>
        </w:tc>
        <w:tc>
          <w:tcPr>
            <w:tcW w:type="dxa" w:w="2412"/>
          </w:tcPr>
          <w:p>
            <w:r>
              <w:rPr>
                <w:b/>
                <w:sz w:val="17"/>
              </w:rPr>
            </w:r>
            <w:r>
              <w:rPr>
                <w:b/>
                <w:sz w:val="17"/>
              </w:rPr>
              <w:t>Priority</w:t>
            </w:r>
          </w:p>
        </w:tc>
        <w:tc>
          <w:tcPr>
            <w:tcW w:type="dxa" w:w="2412"/>
          </w:tcPr>
          <w:p>
            <w:r>
              <w:rPr>
                <w:b/>
                <w:sz w:val="17"/>
              </w:rPr>
            </w:r>
            <w:r>
              <w:rPr>
                <w:b/>
                <w:sz w:val="17"/>
              </w:rPr>
              <w:t>Professional</w:t>
            </w:r>
          </w:p>
        </w:tc>
      </w:tr>
      <w:tr>
        <w:tc>
          <w:tcPr>
            <w:tcW w:type="dxa" w:w="2412"/>
          </w:tcPr>
          <w:p>
            <w:r>
              <w:rPr>
                <w:b w:val="0"/>
                <w:sz w:val="17"/>
              </w:rPr>
            </w:r>
            <w:r>
              <w:rPr>
                <w:b w:val="0"/>
                <w:sz w:val="17"/>
              </w:rPr>
              <w:t>Day 1–5</w:t>
            </w:r>
          </w:p>
        </w:tc>
        <w:tc>
          <w:tcPr>
            <w:tcW w:type="dxa" w:w="2412"/>
          </w:tcPr>
          <w:p>
            <w:r>
              <w:rPr>
                <w:b w:val="0"/>
                <w:sz w:val="17"/>
              </w:rPr>
            </w:r>
            <w:r>
              <w:rPr>
                <w:b w:val="0"/>
                <w:sz w:val="17"/>
              </w:rPr>
              <w:t>Trademark/name clearance; IP heads of terms with David Agunede</w:t>
            </w:r>
          </w:p>
        </w:tc>
        <w:tc>
          <w:tcPr>
            <w:tcW w:type="dxa" w:w="2412"/>
          </w:tcPr>
          <w:p>
            <w:r>
              <w:rPr>
                <w:b w:val="0"/>
                <w:sz w:val="17"/>
              </w:rPr>
            </w:r>
            <w:r>
              <w:rPr>
                <w:b w:val="0"/>
                <w:sz w:val="17"/>
              </w:rPr>
              <w:t>P0</w:t>
            </w:r>
          </w:p>
        </w:tc>
        <w:tc>
          <w:tcPr>
            <w:tcW w:type="dxa" w:w="2412"/>
          </w:tcPr>
          <w:p>
            <w:r>
              <w:rPr>
                <w:b w:val="0"/>
                <w:sz w:val="17"/>
              </w:rPr>
            </w:r>
            <w:r>
              <w:rPr>
                <w:b w:val="0"/>
                <w:sz w:val="17"/>
              </w:rPr>
              <w:t>Attorney; solicitor</w:t>
            </w:r>
          </w:p>
        </w:tc>
      </w:tr>
      <w:tr>
        <w:tc>
          <w:tcPr>
            <w:tcW w:type="dxa" w:w="2412"/>
          </w:tcPr>
          <w:p>
            <w:r>
              <w:rPr>
                <w:b w:val="0"/>
                <w:sz w:val="17"/>
              </w:rPr>
            </w:r>
            <w:r>
              <w:rPr>
                <w:b w:val="0"/>
                <w:sz w:val="17"/>
              </w:rPr>
              <w:t>Day 5–14</w:t>
            </w:r>
          </w:p>
        </w:tc>
        <w:tc>
          <w:tcPr>
            <w:tcW w:type="dxa" w:w="2412"/>
          </w:tcPr>
          <w:p>
            <w:r>
              <w:rPr>
                <w:b w:val="0"/>
                <w:sz w:val="17"/>
              </w:rPr>
            </w:r>
            <w:r>
              <w:rPr>
                <w:b w:val="0"/>
                <w:sz w:val="17"/>
              </w:rPr>
              <w:t>Incorporate (£100); bank; accountant; founder IP assignment; conflicts register; anti-bribery and claims policies</w:t>
            </w:r>
          </w:p>
        </w:tc>
        <w:tc>
          <w:tcPr>
            <w:tcW w:type="dxa" w:w="2412"/>
          </w:tcPr>
          <w:p>
            <w:r>
              <w:rPr>
                <w:b w:val="0"/>
                <w:sz w:val="17"/>
              </w:rPr>
            </w:r>
            <w:r>
              <w:rPr>
                <w:b w:val="0"/>
                <w:sz w:val="17"/>
              </w:rPr>
              <w:t>P0</w:t>
            </w:r>
          </w:p>
        </w:tc>
        <w:tc>
          <w:tcPr>
            <w:tcW w:type="dxa" w:w="2412"/>
          </w:tcPr>
          <w:p>
            <w:r>
              <w:rPr>
                <w:b w:val="0"/>
                <w:sz w:val="17"/>
              </w:rPr>
            </w:r>
            <w:r>
              <w:rPr>
                <w:b w:val="0"/>
                <w:sz w:val="17"/>
              </w:rPr>
              <w:t>Accountant; solicitor</w:t>
            </w:r>
          </w:p>
        </w:tc>
      </w:tr>
      <w:tr>
        <w:tc>
          <w:tcPr>
            <w:tcW w:type="dxa" w:w="2412"/>
          </w:tcPr>
          <w:p>
            <w:r>
              <w:rPr>
                <w:b w:val="0"/>
                <w:sz w:val="17"/>
              </w:rPr>
            </w:r>
            <w:r>
              <w:rPr>
                <w:b w:val="0"/>
                <w:sz w:val="17"/>
              </w:rPr>
              <w:t>Day 14</w:t>
            </w:r>
          </w:p>
        </w:tc>
        <w:tc>
          <w:tcPr>
            <w:tcW w:type="dxa" w:w="2412"/>
          </w:tcPr>
          <w:p>
            <w:r>
              <w:rPr>
                <w:b w:val="0"/>
                <w:sz w:val="17"/>
              </w:rPr>
            </w:r>
            <w:r>
              <w:rPr>
                <w:b w:val="0"/>
                <w:sz w:val="17"/>
              </w:rPr>
              <w:t>ICO registration (£52); LIA for outreach; PI + PL insurance quotes</w:t>
            </w:r>
          </w:p>
        </w:tc>
        <w:tc>
          <w:tcPr>
            <w:tcW w:type="dxa" w:w="2412"/>
          </w:tcPr>
          <w:p>
            <w:r>
              <w:rPr>
                <w:b w:val="0"/>
                <w:sz w:val="17"/>
              </w:rPr>
            </w:r>
            <w:r>
              <w:rPr>
                <w:b w:val="0"/>
                <w:sz w:val="17"/>
              </w:rPr>
              <w:t>P0</w:t>
            </w:r>
          </w:p>
        </w:tc>
        <w:tc>
          <w:tcPr>
            <w:tcW w:type="dxa" w:w="2412"/>
          </w:tcPr>
          <w:p>
            <w:r>
              <w:rPr>
                <w:b w:val="0"/>
                <w:sz w:val="17"/>
              </w:rPr>
            </w:r>
            <w:r>
              <w:rPr>
                <w:b w:val="0"/>
                <w:sz w:val="17"/>
              </w:rPr>
              <w:t>—</w:t>
            </w:r>
          </w:p>
        </w:tc>
      </w:tr>
      <w:tr>
        <w:tc>
          <w:tcPr>
            <w:tcW w:type="dxa" w:w="2412"/>
          </w:tcPr>
          <w:p>
            <w:r>
              <w:rPr>
                <w:b w:val="0"/>
                <w:sz w:val="17"/>
              </w:rPr>
            </w:r>
            <w:r>
              <w:rPr>
                <w:b w:val="0"/>
                <w:sz w:val="17"/>
              </w:rPr>
              <w:t>Day 21</w:t>
            </w:r>
          </w:p>
        </w:tc>
        <w:tc>
          <w:tcPr>
            <w:tcW w:type="dxa" w:w="2412"/>
          </w:tcPr>
          <w:p>
            <w:r>
              <w:rPr>
                <w:b w:val="0"/>
                <w:sz w:val="17"/>
              </w:rPr>
            </w:r>
            <w:r>
              <w:rPr>
                <w:b w:val="0"/>
                <w:sz w:val="17"/>
              </w:rPr>
              <w:t>Website legal pages; privacy notice; MSA/SOW/NDA sent to solicitor</w:t>
            </w:r>
          </w:p>
        </w:tc>
        <w:tc>
          <w:tcPr>
            <w:tcW w:type="dxa" w:w="2412"/>
          </w:tcPr>
          <w:p>
            <w:r>
              <w:rPr>
                <w:b w:val="0"/>
                <w:sz w:val="17"/>
              </w:rPr>
            </w:r>
            <w:r>
              <w:rPr>
                <w:b w:val="0"/>
                <w:sz w:val="17"/>
              </w:rPr>
              <w:t>P0</w:t>
            </w:r>
          </w:p>
        </w:tc>
        <w:tc>
          <w:tcPr>
            <w:tcW w:type="dxa" w:w="2412"/>
          </w:tcPr>
          <w:p>
            <w:r>
              <w:rPr>
                <w:b w:val="0"/>
                <w:sz w:val="17"/>
              </w:rPr>
            </w:r>
            <w:r>
              <w:rPr>
                <w:b w:val="0"/>
                <w:sz w:val="17"/>
              </w:rPr>
              <w:t>Solicitor</w:t>
            </w:r>
          </w:p>
        </w:tc>
      </w:tr>
      <w:tr>
        <w:tc>
          <w:tcPr>
            <w:tcW w:type="dxa" w:w="2412"/>
          </w:tcPr>
          <w:p>
            <w:r>
              <w:rPr>
                <w:b w:val="0"/>
                <w:sz w:val="17"/>
              </w:rPr>
            </w:r>
            <w:r>
              <w:rPr>
                <w:b w:val="0"/>
                <w:sz w:val="17"/>
              </w:rPr>
              <w:t>Day 30</w:t>
            </w:r>
          </w:p>
        </w:tc>
        <w:tc>
          <w:tcPr>
            <w:tcW w:type="dxa" w:w="2412"/>
          </w:tcPr>
          <w:p>
            <w:r>
              <w:rPr>
                <w:b w:val="0"/>
                <w:sz w:val="17"/>
              </w:rPr>
            </w:r>
            <w:r>
              <w:rPr>
                <w:b w:val="0"/>
                <w:sz w:val="17"/>
              </w:rPr>
              <w:t>IP agreement signed; prototype audit complete; security policy set (P0 items); RoPA; SEIS/EIS advance-assurance application</w:t>
            </w:r>
          </w:p>
        </w:tc>
        <w:tc>
          <w:tcPr>
            <w:tcW w:type="dxa" w:w="2412"/>
          </w:tcPr>
          <w:p>
            <w:r>
              <w:rPr>
                <w:b w:val="0"/>
                <w:sz w:val="17"/>
              </w:rPr>
            </w:r>
            <w:r>
              <w:rPr>
                <w:b w:val="0"/>
                <w:sz w:val="17"/>
              </w:rPr>
              <w:t>P0</w:t>
            </w:r>
          </w:p>
        </w:tc>
        <w:tc>
          <w:tcPr>
            <w:tcW w:type="dxa" w:w="2412"/>
          </w:tcPr>
          <w:p>
            <w:r>
              <w:rPr>
                <w:b w:val="0"/>
                <w:sz w:val="17"/>
              </w:rPr>
            </w:r>
            <w:r>
              <w:rPr>
                <w:b w:val="0"/>
                <w:sz w:val="17"/>
              </w:rPr>
              <w:t>Solicitor; accountant</w:t>
            </w:r>
          </w:p>
        </w:tc>
      </w:tr>
      <w:tr>
        <w:tc>
          <w:tcPr>
            <w:tcW w:type="dxa" w:w="2412"/>
          </w:tcPr>
          <w:p>
            <w:r>
              <w:rPr>
                <w:b w:val="0"/>
                <w:sz w:val="17"/>
              </w:rPr>
            </w:r>
            <w:r>
              <w:rPr>
                <w:b w:val="0"/>
                <w:sz w:val="17"/>
              </w:rPr>
              <w:t>Day 45</w:t>
            </w:r>
          </w:p>
        </w:tc>
        <w:tc>
          <w:tcPr>
            <w:tcW w:type="dxa" w:w="2412"/>
          </w:tcPr>
          <w:p>
            <w:r>
              <w:rPr>
                <w:b w:val="0"/>
                <w:sz w:val="17"/>
              </w:rPr>
            </w:r>
            <w:r>
              <w:rPr>
                <w:b w:val="0"/>
                <w:sz w:val="17"/>
              </w:rPr>
              <w:t>Trademark application filed (£205 + £60/class); CSO identified; regulatory qualification opinion commissioned</w:t>
            </w:r>
          </w:p>
        </w:tc>
        <w:tc>
          <w:tcPr>
            <w:tcW w:type="dxa" w:w="2412"/>
          </w:tcPr>
          <w:p>
            <w:r>
              <w:rPr>
                <w:b w:val="0"/>
                <w:sz w:val="17"/>
              </w:rPr>
            </w:r>
            <w:r>
              <w:rPr>
                <w:b w:val="0"/>
                <w:sz w:val="17"/>
              </w:rPr>
              <w:t>P1</w:t>
            </w:r>
          </w:p>
        </w:tc>
        <w:tc>
          <w:tcPr>
            <w:tcW w:type="dxa" w:w="2412"/>
          </w:tcPr>
          <w:p>
            <w:r>
              <w:rPr>
                <w:b w:val="0"/>
                <w:sz w:val="17"/>
              </w:rPr>
            </w:r>
            <w:r>
              <w:rPr>
                <w:b w:val="0"/>
                <w:sz w:val="17"/>
              </w:rPr>
              <w:t>Attorney; reg consultant</w:t>
            </w:r>
          </w:p>
        </w:tc>
      </w:tr>
      <w:tr>
        <w:tc>
          <w:tcPr>
            <w:tcW w:type="dxa" w:w="2412"/>
          </w:tcPr>
          <w:p>
            <w:r>
              <w:rPr>
                <w:b w:val="0"/>
                <w:sz w:val="17"/>
              </w:rPr>
            </w:r>
            <w:r>
              <w:rPr>
                <w:b w:val="0"/>
                <w:sz w:val="17"/>
              </w:rPr>
              <w:t>Day 60</w:t>
            </w:r>
          </w:p>
        </w:tc>
        <w:tc>
          <w:tcPr>
            <w:tcW w:type="dxa" w:w="2412"/>
          </w:tcPr>
          <w:p>
            <w:r>
              <w:rPr>
                <w:b w:val="0"/>
                <w:sz w:val="17"/>
              </w:rPr>
            </w:r>
            <w:r>
              <w:rPr>
                <w:b w:val="0"/>
                <w:sz w:val="17"/>
              </w:rPr>
              <w:t>DPIA v0.1; clinical safety management policy; contractor agreements in use; Cyber Essentials self-assessment started (£300 + VAT micro tier; sources: https://www.ncsc.gov.uk/cyberessentials/overview ; https://www.isms.online/cyber-essentials/cost/ )</w:t>
            </w:r>
          </w:p>
        </w:tc>
        <w:tc>
          <w:tcPr>
            <w:tcW w:type="dxa" w:w="2412"/>
          </w:tcPr>
          <w:p>
            <w:r>
              <w:rPr>
                <w:b w:val="0"/>
                <w:sz w:val="17"/>
              </w:rPr>
            </w:r>
            <w:r>
              <w:rPr>
                <w:b w:val="0"/>
                <w:sz w:val="17"/>
              </w:rPr>
              <w:t>P1</w:t>
            </w:r>
          </w:p>
        </w:tc>
        <w:tc>
          <w:tcPr>
            <w:tcW w:type="dxa" w:w="2412"/>
          </w:tcPr>
          <w:p>
            <w:r>
              <w:rPr>
                <w:b w:val="0"/>
                <w:sz w:val="17"/>
              </w:rPr>
            </w:r>
            <w:r>
              <w:rPr>
                <w:b w:val="0"/>
                <w:sz w:val="17"/>
              </w:rPr>
              <w:t>—</w:t>
            </w:r>
          </w:p>
        </w:tc>
      </w:tr>
      <w:tr>
        <w:tc>
          <w:tcPr>
            <w:tcW w:type="dxa" w:w="2412"/>
          </w:tcPr>
          <w:p>
            <w:r>
              <w:rPr>
                <w:b w:val="0"/>
                <w:sz w:val="17"/>
              </w:rPr>
            </w:r>
            <w:r>
              <w:rPr>
                <w:b w:val="0"/>
                <w:sz w:val="17"/>
              </w:rPr>
              <w:t>Day 90</w:t>
            </w:r>
          </w:p>
        </w:tc>
        <w:tc>
          <w:tcPr>
            <w:tcW w:type="dxa" w:w="2412"/>
          </w:tcPr>
          <w:p>
            <w:r>
              <w:rPr>
                <w:b w:val="0"/>
                <w:sz w:val="17"/>
              </w:rPr>
            </w:r>
            <w:r>
              <w:rPr>
                <w:b w:val="0"/>
                <w:sz w:val="17"/>
              </w:rPr>
              <w:t>Cyber Essentials certified; DSPT registration; DTAC evidence pack skeleton; advisory board letters</w:t>
            </w:r>
          </w:p>
        </w:tc>
        <w:tc>
          <w:tcPr>
            <w:tcW w:type="dxa" w:w="2412"/>
          </w:tcPr>
          <w:p>
            <w:r>
              <w:rPr>
                <w:b w:val="0"/>
                <w:sz w:val="17"/>
              </w:rPr>
            </w:r>
            <w:r>
              <w:rPr>
                <w:b w:val="0"/>
                <w:sz w:val="17"/>
              </w:rPr>
              <w:t>P1</w:t>
            </w:r>
          </w:p>
        </w:tc>
        <w:tc>
          <w:tcPr>
            <w:tcW w:type="dxa" w:w="2412"/>
          </w:tcPr>
          <w:p>
            <w:r>
              <w:rPr>
                <w:b w:val="0"/>
                <w:sz w:val="17"/>
              </w:rPr>
            </w:r>
            <w:r>
              <w:rPr>
                <w:b w:val="0"/>
                <w:sz w:val="17"/>
              </w:rPr>
              <w:t>—</w:t>
            </w:r>
          </w:p>
        </w:tc>
      </w:tr>
      <w:tr>
        <w:tc>
          <w:tcPr>
            <w:tcW w:type="dxa" w:w="2412"/>
          </w:tcPr>
          <w:p>
            <w:r>
              <w:rPr>
                <w:b w:val="0"/>
                <w:sz w:val="17"/>
              </w:rPr>
            </w:r>
            <w:r>
              <w:rPr>
                <w:b w:val="0"/>
                <w:sz w:val="17"/>
              </w:rPr>
              <w:t>Month 6</w:t>
            </w:r>
          </w:p>
        </w:tc>
        <w:tc>
          <w:tcPr>
            <w:tcW w:type="dxa" w:w="2412"/>
          </w:tcPr>
          <w:p>
            <w:r>
              <w:rPr>
                <w:b w:val="0"/>
                <w:sz w:val="17"/>
              </w:rPr>
            </w:r>
            <w:r>
              <w:rPr>
                <w:b w:val="0"/>
                <w:sz w:val="17"/>
              </w:rPr>
              <w:t>Cyber Essentials Plus (ESTIMATE £1,500–£3,000 + VAT); pen test (ESTIMATE £3k–£8k); DPO appointed if deployment imminent; D&amp;O on first investment</w:t>
            </w:r>
          </w:p>
        </w:tc>
        <w:tc>
          <w:tcPr>
            <w:tcW w:type="dxa" w:w="2412"/>
          </w:tcPr>
          <w:p>
            <w:r>
              <w:rPr>
                <w:b w:val="0"/>
                <w:sz w:val="17"/>
              </w:rPr>
            </w:r>
            <w:r>
              <w:rPr>
                <w:b w:val="0"/>
                <w:sz w:val="17"/>
              </w:rPr>
              <w:t>P1</w:t>
            </w:r>
          </w:p>
        </w:tc>
        <w:tc>
          <w:tcPr>
            <w:tcW w:type="dxa" w:w="2412"/>
          </w:tcPr>
          <w:p>
            <w:r>
              <w:rPr>
                <w:b w:val="0"/>
                <w:sz w:val="17"/>
              </w:rPr>
            </w:r>
            <w:r>
              <w:rPr>
                <w:b w:val="0"/>
                <w:sz w:val="17"/>
              </w:rPr>
              <w:t>Certification body</w:t>
            </w:r>
          </w:p>
        </w:tc>
      </w:tr>
      <w:tr>
        <w:tc>
          <w:tcPr>
            <w:tcW w:type="dxa" w:w="2412"/>
          </w:tcPr>
          <w:p>
            <w:r>
              <w:rPr>
                <w:b w:val="0"/>
                <w:sz w:val="17"/>
              </w:rPr>
            </w:r>
            <w:r>
              <w:rPr>
                <w:b w:val="0"/>
                <w:sz w:val="17"/>
              </w:rPr>
              <w:t>Month 9</w:t>
            </w:r>
          </w:p>
        </w:tc>
        <w:tc>
          <w:tcPr>
            <w:tcW w:type="dxa" w:w="2412"/>
          </w:tcPr>
          <w:p>
            <w:r>
              <w:rPr>
                <w:b w:val="0"/>
                <w:sz w:val="17"/>
              </w:rPr>
            </w:r>
            <w:r>
              <w:rPr>
                <w:b w:val="0"/>
                <w:sz w:val="17"/>
              </w:rPr>
              <w:t>NDPC registration via DPCO if Nigeria pilot; Nigerian counsel; IDTA/transfer risk assessment</w:t>
            </w:r>
          </w:p>
        </w:tc>
        <w:tc>
          <w:tcPr>
            <w:tcW w:type="dxa" w:w="2412"/>
          </w:tcPr>
          <w:p>
            <w:r>
              <w:rPr>
                <w:b w:val="0"/>
                <w:sz w:val="17"/>
              </w:rPr>
            </w:r>
            <w:r>
              <w:rPr>
                <w:b w:val="0"/>
                <w:sz w:val="17"/>
              </w:rPr>
              <w:t>P1</w:t>
            </w:r>
          </w:p>
        </w:tc>
        <w:tc>
          <w:tcPr>
            <w:tcW w:type="dxa" w:w="2412"/>
          </w:tcPr>
          <w:p>
            <w:r>
              <w:rPr>
                <w:b w:val="0"/>
                <w:sz w:val="17"/>
              </w:rPr>
            </w:r>
            <w:r>
              <w:rPr>
                <w:b w:val="0"/>
                <w:sz w:val="17"/>
              </w:rPr>
              <w:t>Nigerian counsel</w:t>
            </w:r>
          </w:p>
        </w:tc>
      </w:tr>
      <w:tr>
        <w:tc>
          <w:tcPr>
            <w:tcW w:type="dxa" w:w="2412"/>
          </w:tcPr>
          <w:p>
            <w:r>
              <w:rPr>
                <w:b w:val="0"/>
                <w:sz w:val="17"/>
              </w:rPr>
            </w:r>
            <w:r>
              <w:rPr>
                <w:b w:val="0"/>
                <w:sz w:val="17"/>
              </w:rPr>
              <w:t>Month 12</w:t>
            </w:r>
          </w:p>
        </w:tc>
        <w:tc>
          <w:tcPr>
            <w:tcW w:type="dxa" w:w="2412"/>
          </w:tcPr>
          <w:p>
            <w:r>
              <w:rPr>
                <w:b w:val="0"/>
                <w:sz w:val="17"/>
              </w:rPr>
            </w:r>
            <w:r>
              <w:rPr>
                <w:b w:val="0"/>
                <w:sz w:val="17"/>
              </w:rPr>
              <w:t>Annual policy review; confirmation statement (£50); ICO renewal; insurance renewal; ISO 27001 gap assessment (certification later, ESTIMATE £8k–£20k)</w:t>
            </w:r>
          </w:p>
        </w:tc>
        <w:tc>
          <w:tcPr>
            <w:tcW w:type="dxa" w:w="2412"/>
          </w:tcPr>
          <w:p>
            <w:r>
              <w:rPr>
                <w:b w:val="0"/>
                <w:sz w:val="17"/>
              </w:rPr>
            </w:r>
            <w:r>
              <w:rPr>
                <w:b w:val="0"/>
                <w:sz w:val="17"/>
              </w:rPr>
              <w:t>P2</w:t>
            </w:r>
          </w:p>
        </w:tc>
        <w:tc>
          <w:tcPr>
            <w:tcW w:type="dxa" w:w="2412"/>
          </w:tcPr>
          <w:p>
            <w:r>
              <w:rPr>
                <w:b w:val="0"/>
                <w:sz w:val="17"/>
              </w:rPr>
            </w:r>
            <w:r>
              <w:rPr>
                <w:b w:val="0"/>
                <w:sz w:val="17"/>
              </w:rPr>
              <w:t>Accountant</w:t>
            </w:r>
          </w:p>
        </w:tc>
      </w:tr>
    </w:tbl>
    <w:p/>
    <w:p>
      <w:pPr>
        <w:pStyle w:val="Heading2"/>
      </w:pPr>
      <w:r>
        <w:t>Priorities / Risks / Next actions</w:t>
      </w:r>
    </w:p>
    <w:p>
      <w:r>
        <w:rPr>
          <w:b/>
        </w:rPr>
        <w:t>Priorities</w:t>
      </w:r>
    </w:p>
    <w:p>
      <w:pPr>
        <w:pStyle w:val="ListNumber"/>
      </w:pPr>
      <w:r>
        <w:t>Resolve IP with David Agunede (heads of terms Day 7; signed Day 30) and clear the name (Day 5) — nothing else is safe until these are done.</w:t>
      </w:r>
    </w:p>
    <w:p>
      <w:pPr>
        <w:pStyle w:val="ListNumber"/>
      </w:pPr>
      <w:r>
        <w:t>Incorporate, insure, register with the ICO, adopt the P0 policy set (Day 14–30).</w:t>
      </w:r>
    </w:p>
    <w:p>
      <w:pPr>
        <w:pStyle w:val="ListNumber"/>
      </w:pPr>
      <w:r>
        <w:t>Lock MaternaLink's intended use and clinical-safety governance before any build work (CSO, hazard log, DPIA, qualification opinion by Day 60).</w:t>
      </w:r>
    </w:p>
    <w:p>
      <w:r>
        <w:rPr>
          <w:b/>
        </w:rPr>
        <w:t>Risks</w:t>
      </w:r>
      <w:r>
        <w:t xml:space="preserve"> — see §13; the top four (R1, R2, R3, R4) are all founder-controllable within 60 days.</w:t>
      </w:r>
    </w:p>
    <w:p>
      <w:r>
        <w:rPr>
          <w:b/>
        </w:rPr>
        <w:t>Next actions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Action</w:t>
            </w:r>
          </w:p>
        </w:tc>
        <w:tc>
          <w:tcPr>
            <w:tcW w:type="dxa" w:w="2412"/>
          </w:tcPr>
          <w:p>
            <w:r>
              <w:rPr>
                <w:b/>
                <w:sz w:val="17"/>
              </w:rPr>
            </w:r>
            <w:r>
              <w:rPr>
                <w:b/>
                <w:sz w:val="17"/>
              </w:rPr>
              <w:t>Owner</w:t>
            </w:r>
          </w:p>
        </w:tc>
        <w:tc>
          <w:tcPr>
            <w:tcW w:type="dxa" w:w="2412"/>
          </w:tcPr>
          <w:p>
            <w:r>
              <w:rPr>
                <w:b/>
                <w:sz w:val="17"/>
              </w:rPr>
            </w:r>
            <w:r>
              <w:rPr>
                <w:b/>
                <w:sz w:val="17"/>
              </w:rPr>
              <w:t>Deadline</w:t>
            </w:r>
          </w:p>
        </w:tc>
        <w:tc>
          <w:tcPr>
            <w:tcW w:type="dxa" w:w="2412"/>
          </w:tcPr>
          <w:p>
            <w:r>
              <w:rPr>
                <w:b/>
                <w:sz w:val="17"/>
              </w:rPr>
            </w:r>
            <w:r>
              <w:rPr>
                <w:b/>
                <w:sz w:val="17"/>
              </w:rPr>
              <w:t>Professional</w:t>
            </w:r>
          </w:p>
        </w:tc>
      </w:tr>
      <w:tr>
        <w:tc>
          <w:tcPr>
            <w:tcW w:type="dxa" w:w="2412"/>
          </w:tcPr>
          <w:p>
            <w:r>
              <w:rPr>
                <w:b w:val="0"/>
                <w:sz w:val="17"/>
              </w:rPr>
            </w:r>
            <w:r>
              <w:rPr>
                <w:b w:val="0"/>
                <w:sz w:val="17"/>
              </w:rPr>
              <w:t>Run UK IPO/EUIPO/USPTO/Companies House searches; brief a trade-mark attorney</w:t>
            </w:r>
          </w:p>
        </w:tc>
        <w:tc>
          <w:tcPr>
            <w:tcW w:type="dxa" w:w="2412"/>
          </w:tcPr>
          <w:p>
            <w:r>
              <w:rPr>
                <w:b w:val="0"/>
                <w:sz w:val="17"/>
              </w:rPr>
            </w:r>
            <w:r>
              <w:rPr>
                <w:b w:val="0"/>
                <w:sz w:val="17"/>
              </w:rPr>
              <w:t>Founder</w:t>
            </w:r>
          </w:p>
        </w:tc>
        <w:tc>
          <w:tcPr>
            <w:tcW w:type="dxa" w:w="2412"/>
          </w:tcPr>
          <w:p>
            <w:r>
              <w:rPr>
                <w:b w:val="0"/>
                <w:sz w:val="17"/>
              </w:rPr>
            </w:r>
            <w:r>
              <w:rPr>
                <w:b w:val="0"/>
                <w:sz w:val="17"/>
              </w:rPr>
              <w:t>Fri 18 Sept 2026</w:t>
            </w:r>
          </w:p>
        </w:tc>
        <w:tc>
          <w:tcPr>
            <w:tcW w:type="dxa" w:w="2412"/>
          </w:tcPr>
          <w:p>
            <w:r>
              <w:rPr>
                <w:b w:val="0"/>
                <w:sz w:val="17"/>
              </w:rPr>
            </w:r>
            <w:r>
              <w:rPr>
                <w:b w:val="0"/>
                <w:sz w:val="17"/>
              </w:rPr>
              <w:t>Attorney</w:t>
            </w:r>
          </w:p>
        </w:tc>
      </w:tr>
      <w:tr>
        <w:tc>
          <w:tcPr>
            <w:tcW w:type="dxa" w:w="2412"/>
          </w:tcPr>
          <w:p>
            <w:r>
              <w:rPr>
                <w:b w:val="0"/>
                <w:sz w:val="17"/>
              </w:rPr>
            </w:r>
            <w:r>
              <w:rPr>
                <w:b w:val="0"/>
                <w:sz w:val="17"/>
              </w:rPr>
              <w:t>Hold the David Agunede conversation; send draft heads of terms</w:t>
            </w:r>
          </w:p>
        </w:tc>
        <w:tc>
          <w:tcPr>
            <w:tcW w:type="dxa" w:w="2412"/>
          </w:tcPr>
          <w:p>
            <w:r>
              <w:rPr>
                <w:b w:val="0"/>
                <w:sz w:val="17"/>
              </w:rPr>
            </w:r>
            <w:r>
              <w:rPr>
                <w:b w:val="0"/>
                <w:sz w:val="17"/>
              </w:rPr>
              <w:t>Founder</w:t>
            </w:r>
          </w:p>
        </w:tc>
        <w:tc>
          <w:tcPr>
            <w:tcW w:type="dxa" w:w="2412"/>
          </w:tcPr>
          <w:p>
            <w:r>
              <w:rPr>
                <w:b w:val="0"/>
                <w:sz w:val="17"/>
              </w:rPr>
            </w:r>
            <w:r>
              <w:rPr>
                <w:b w:val="0"/>
                <w:sz w:val="17"/>
              </w:rPr>
              <w:t>Wed 16 Sept 2026</w:t>
            </w:r>
          </w:p>
        </w:tc>
        <w:tc>
          <w:tcPr>
            <w:tcW w:type="dxa" w:w="2412"/>
          </w:tcPr>
          <w:p>
            <w:r>
              <w:rPr>
                <w:b w:val="0"/>
                <w:sz w:val="17"/>
              </w:rPr>
            </w:r>
            <w:r>
              <w:rPr>
                <w:b w:val="0"/>
                <w:sz w:val="17"/>
              </w:rPr>
              <w:t>Solicitor from Day 10</w:t>
            </w:r>
          </w:p>
        </w:tc>
      </w:tr>
      <w:tr>
        <w:tc>
          <w:tcPr>
            <w:tcW w:type="dxa" w:w="2412"/>
          </w:tcPr>
          <w:p>
            <w:r>
              <w:rPr>
                <w:b w:val="0"/>
                <w:sz w:val="17"/>
              </w:rPr>
            </w:r>
            <w:r>
              <w:rPr>
                <w:b w:val="0"/>
                <w:sz w:val="17"/>
              </w:rPr>
              <w:t>Shortlist 3 fixed-fee start-up solicitors and 3 accountants; instruct one each</w:t>
            </w:r>
          </w:p>
        </w:tc>
        <w:tc>
          <w:tcPr>
            <w:tcW w:type="dxa" w:w="2412"/>
          </w:tcPr>
          <w:p>
            <w:r>
              <w:rPr>
                <w:b w:val="0"/>
                <w:sz w:val="17"/>
              </w:rPr>
            </w:r>
            <w:r>
              <w:rPr>
                <w:b w:val="0"/>
                <w:sz w:val="17"/>
              </w:rPr>
              <w:t>Founder</w:t>
            </w:r>
          </w:p>
        </w:tc>
        <w:tc>
          <w:tcPr>
            <w:tcW w:type="dxa" w:w="2412"/>
          </w:tcPr>
          <w:p>
            <w:r>
              <w:rPr>
                <w:b w:val="0"/>
                <w:sz w:val="17"/>
              </w:rPr>
            </w:r>
            <w:r>
              <w:rPr>
                <w:b w:val="0"/>
                <w:sz w:val="17"/>
              </w:rPr>
              <w:t>Fri 18 Sept 2026</w:t>
            </w:r>
          </w:p>
        </w:tc>
        <w:tc>
          <w:tcPr>
            <w:tcW w:type="dxa" w:w="2412"/>
          </w:tcPr>
          <w:p>
            <w:r>
              <w:rPr>
                <w:b w:val="0"/>
                <w:sz w:val="17"/>
              </w:rPr>
            </w:r>
            <w:r>
              <w:rPr>
                <w:b w:val="0"/>
                <w:sz w:val="17"/>
              </w:rPr>
              <w:t>—</w:t>
            </w:r>
          </w:p>
        </w:tc>
      </w:tr>
      <w:tr>
        <w:tc>
          <w:tcPr>
            <w:tcW w:type="dxa" w:w="2412"/>
          </w:tcPr>
          <w:p>
            <w:r>
              <w:rPr>
                <w:b w:val="0"/>
                <w:sz w:val="17"/>
              </w:rPr>
            </w:r>
            <w:r>
              <w:rPr>
                <w:b w:val="0"/>
                <w:sz w:val="17"/>
              </w:rPr>
              <w:t>Incorporate and open bank account</w:t>
            </w:r>
          </w:p>
        </w:tc>
        <w:tc>
          <w:tcPr>
            <w:tcW w:type="dxa" w:w="2412"/>
          </w:tcPr>
          <w:p>
            <w:r>
              <w:rPr>
                <w:b w:val="0"/>
                <w:sz w:val="17"/>
              </w:rPr>
            </w:r>
            <w:r>
              <w:rPr>
                <w:b w:val="0"/>
                <w:sz w:val="17"/>
              </w:rPr>
              <w:t>Founder</w:t>
            </w:r>
          </w:p>
        </w:tc>
        <w:tc>
          <w:tcPr>
            <w:tcW w:type="dxa" w:w="2412"/>
          </w:tcPr>
          <w:p>
            <w:r>
              <w:rPr>
                <w:b w:val="0"/>
                <w:sz w:val="17"/>
              </w:rPr>
            </w:r>
            <w:r>
              <w:rPr>
                <w:b w:val="0"/>
                <w:sz w:val="17"/>
              </w:rPr>
              <w:t>Fri 25 Sept 2026</w:t>
            </w:r>
          </w:p>
        </w:tc>
        <w:tc>
          <w:tcPr>
            <w:tcW w:type="dxa" w:w="2412"/>
          </w:tcPr>
          <w:p>
            <w:r>
              <w:rPr>
                <w:b w:val="0"/>
                <w:sz w:val="17"/>
              </w:rPr>
            </w:r>
            <w:r>
              <w:rPr>
                <w:b w:val="0"/>
                <w:sz w:val="17"/>
              </w:rPr>
              <w:t>Accountant</w:t>
            </w:r>
          </w:p>
        </w:tc>
      </w:tr>
      <w:tr>
        <w:tc>
          <w:tcPr>
            <w:tcW w:type="dxa" w:w="2412"/>
          </w:tcPr>
          <w:p>
            <w:r>
              <w:rPr>
                <w:b w:val="0"/>
                <w:sz w:val="17"/>
              </w:rPr>
            </w:r>
            <w:r>
              <w:rPr>
                <w:b w:val="0"/>
                <w:sz w:val="17"/>
              </w:rPr>
              <w:t>ICO registration; PI/PL insurance bound</w:t>
            </w:r>
          </w:p>
        </w:tc>
        <w:tc>
          <w:tcPr>
            <w:tcW w:type="dxa" w:w="2412"/>
          </w:tcPr>
          <w:p>
            <w:r>
              <w:rPr>
                <w:b w:val="0"/>
                <w:sz w:val="17"/>
              </w:rPr>
            </w:r>
            <w:r>
              <w:rPr>
                <w:b w:val="0"/>
                <w:sz w:val="17"/>
              </w:rPr>
              <w:t>Founder</w:t>
            </w:r>
          </w:p>
        </w:tc>
        <w:tc>
          <w:tcPr>
            <w:tcW w:type="dxa" w:w="2412"/>
          </w:tcPr>
          <w:p>
            <w:r>
              <w:rPr>
                <w:b w:val="0"/>
                <w:sz w:val="17"/>
              </w:rPr>
            </w:r>
            <w:r>
              <w:rPr>
                <w:b w:val="0"/>
                <w:sz w:val="17"/>
              </w:rPr>
              <w:t>Fri 2 Oct 2026</w:t>
            </w:r>
          </w:p>
        </w:tc>
        <w:tc>
          <w:tcPr>
            <w:tcW w:type="dxa" w:w="2412"/>
          </w:tcPr>
          <w:p>
            <w:r>
              <w:rPr>
                <w:b w:val="0"/>
                <w:sz w:val="17"/>
              </w:rPr>
            </w:r>
            <w:r>
              <w:rPr>
                <w:b w:val="0"/>
                <w:sz w:val="17"/>
              </w:rPr>
              <w:t>Broker</w:t>
            </w:r>
          </w:p>
        </w:tc>
      </w:tr>
      <w:tr>
        <w:tc>
          <w:tcPr>
            <w:tcW w:type="dxa" w:w="2412"/>
          </w:tcPr>
          <w:p>
            <w:r>
              <w:rPr>
                <w:b w:val="0"/>
                <w:sz w:val="17"/>
              </w:rPr>
            </w:r>
            <w:r>
              <w:rPr>
                <w:b w:val="0"/>
                <w:sz w:val="17"/>
              </w:rPr>
              <w:t>Adopt P0 policies at first board minute</w:t>
            </w:r>
          </w:p>
        </w:tc>
        <w:tc>
          <w:tcPr>
            <w:tcW w:type="dxa" w:w="2412"/>
          </w:tcPr>
          <w:p>
            <w:r>
              <w:rPr>
                <w:b w:val="0"/>
                <w:sz w:val="17"/>
              </w:rPr>
            </w:r>
            <w:r>
              <w:rPr>
                <w:b w:val="0"/>
                <w:sz w:val="17"/>
              </w:rPr>
              <w:t>Founder</w:t>
            </w:r>
          </w:p>
        </w:tc>
        <w:tc>
          <w:tcPr>
            <w:tcW w:type="dxa" w:w="2412"/>
          </w:tcPr>
          <w:p>
            <w:r>
              <w:rPr>
                <w:b w:val="0"/>
                <w:sz w:val="17"/>
              </w:rPr>
            </w:r>
            <w:r>
              <w:rPr>
                <w:b w:val="0"/>
                <w:sz w:val="17"/>
              </w:rPr>
              <w:t>Tue 13 Oct 2026</w:t>
            </w:r>
          </w:p>
        </w:tc>
        <w:tc>
          <w:tcPr>
            <w:tcW w:type="dxa" w:w="2412"/>
          </w:tcPr>
          <w:p>
            <w:r>
              <w:rPr>
                <w:b w:val="0"/>
                <w:sz w:val="17"/>
              </w:rPr>
            </w:r>
            <w:r>
              <w:rPr>
                <w:b w:val="0"/>
                <w:sz w:val="17"/>
              </w:rPr>
              <w:t>—</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