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23 — INVESTOR READINESS AND THE WINNING CONCEPT</w:t>
      </w:r>
    </w:p>
    <w:p>
      <w:r>
        <w:rPr>
          <w:b/>
        </w:rPr>
        <w:t>Owner:</w:t>
      </w:r>
      <w:r>
        <w:t xml:space="preserve"> CEO with Fundraising Director and Chief Strategy Officer · </w:t>
      </w:r>
      <w:r>
        <w:rPr>
          <w:b/>
        </w:rPr>
        <w:t>Date:</w:t>
      </w:r>
      <w:r>
        <w:t xml:space="preserve"> 8 September 2026 · </w:t>
      </w:r>
      <w:r>
        <w:rPr>
          <w:b/>
        </w:rPr>
        <w:t>Status:</w:t>
      </w:r>
      <w:r>
        <w:t xml:space="preserve"> PROPOSED · </w:t>
      </w:r>
      <w:r>
        <w:rPr>
          <w:b/>
        </w:rPr>
        <w:t>Governing file:</w:t>
      </w:r>
      <w:r>
        <w:t xml:space="preserve"> </w:t>
      </w:r>
      <w:r>
        <w:rPr>
          <w:rFonts w:ascii="Consolas" w:hAnsi="Consolas"/>
          <w:sz w:val="18"/>
        </w:rPr>
        <w:t>/FACTS_BASE.md</w:t>
      </w:r>
    </w:p>
    <w:p>
      <w:pPr>
        <w:pStyle w:val="Heading2"/>
      </w:pPr>
      <w:r>
        <w:t>Executive view</w:t>
      </w:r>
    </w:p>
    <w:p>
      <w:pPr>
        <w:pStyle w:val="ListNumber"/>
      </w:pPr>
      <w:r>
        <w:rPr>
          <w:b/>
        </w:rPr>
        <w:t>Investor readiness today: 2/10.</w:t>
      </w:r>
      <w:r>
        <w:t xml:space="preserve"> Not because the idea is weak, but because five hard blockers exist: no entity, no IP agreement, unvalidated clinical claims live on a public URL, no revenue, no pilot partner. Each is fixable within 60–90 days and the plan below fixes them in order.</w:t>
      </w:r>
    </w:p>
    <w:p>
      <w:pPr>
        <w:pStyle w:val="ListNumber"/>
      </w:pPr>
      <w:r>
        <w:rPr>
          <w:b/>
        </w:rPr>
        <w:t>The winning concept is not "another maternal-health app".</w:t>
      </w:r>
      <w:r>
        <w:t xml:space="preserve"> It is </w:t>
      </w:r>
      <w:r>
        <w:rPr>
          <w:b/>
        </w:rPr>
        <w:t>the Maternal Continuity Layer</w:t>
      </w:r>
      <w:r>
        <w:t>: an offline-first, interoperable, woman-held maternity record and coordination service that complements the systems governments already run, is priced per woman and paid partly on measured results, and is funded from three sources at once (public budgets, donors, and diaspora sponsorship). That combination is unusual, defensible and fundable.</w:t>
      </w:r>
    </w:p>
    <w:p>
      <w:pPr>
        <w:pStyle w:val="ListNumber"/>
      </w:pPr>
      <w:r>
        <w:rPr>
          <w:b/>
        </w:rPr>
        <w:t>Government contracts are won by frameworks, evidence and partners, not by cold proposals.</w:t>
      </w:r>
      <w:r>
        <w:t xml:space="preserve"> The playbook below gives the routes (UK: DTAC, SBRI Healthcare, Health Innovation Networks, G-Cloud; Nigeria: state primary-health agencies, BHCPF-funded programmes, donor-financed implementers) and the sequence.</w:t>
      </w:r>
    </w:p>
    <w:p>
      <w:pPr>
        <w:pStyle w:val="ListNumber"/>
      </w:pPr>
      <w:r>
        <w:rPr>
          <w:b/>
        </w:rPr>
        <w:t>Investors will fund evidence of motion</w:t>
      </w:r>
      <w:r>
        <w:t>: a signed IP deed, a first paying advisory client, one pilot letter of intent, an advisory board with a clinician, and a data room. The "traction" slide is built from those, not from projections.</w:t>
      </w:r>
    </w:p>
    <w:p>
      <w:pPr>
        <w:pStyle w:val="ListNumber"/>
      </w:pPr>
      <w:r>
        <w:rPr>
          <w:b/>
        </w:rPr>
        <w:t>Timeline:</w:t>
      </w:r>
      <w:r>
        <w:t xml:space="preserve"> pre-conditions cleared by Day 30; first proof points by Day 60; first investor calls Day 61 (Call List 1 in </w:t>
      </w:r>
      <w:r>
        <w:rPr>
          <w:rFonts w:ascii="Consolas" w:hAnsi="Consolas"/>
          <w:sz w:val="18"/>
        </w:rPr>
        <w:t>/investors/</w:t>
      </w:r>
      <w:r>
        <w:t>); pre-seed close targeted within 120–150 days of Day 1.</w:t>
      </w:r>
    </w:p>
    <w:p>
      <w:pPr>
        <w:pStyle w:val="Heading2"/>
      </w:pPr>
      <w:r>
        <w:t>1. Investor-readiness scorecard (score yourself monthly)</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w:t>
            </w:r>
          </w:p>
        </w:tc>
        <w:tc>
          <w:tcPr>
            <w:tcW w:type="dxa" w:w="1608"/>
          </w:tcPr>
          <w:p>
            <w:r>
              <w:rPr>
                <w:b/>
                <w:sz w:val="17"/>
              </w:rPr>
            </w:r>
            <w:r>
              <w:rPr>
                <w:b/>
                <w:sz w:val="17"/>
              </w:rPr>
              <w:t>Readiness item</w:t>
            </w:r>
          </w:p>
        </w:tc>
        <w:tc>
          <w:tcPr>
            <w:tcW w:type="dxa" w:w="1608"/>
          </w:tcPr>
          <w:p>
            <w:r>
              <w:rPr>
                <w:b/>
                <w:sz w:val="17"/>
              </w:rPr>
            </w:r>
            <w:r>
              <w:rPr>
                <w:b/>
                <w:sz w:val="17"/>
              </w:rPr>
              <w:t>Today</w:t>
            </w:r>
          </w:p>
        </w:tc>
        <w:tc>
          <w:tcPr>
            <w:tcW w:type="dxa" w:w="1608"/>
          </w:tcPr>
          <w:p>
            <w:r>
              <w:rPr>
                <w:b/>
                <w:sz w:val="17"/>
              </w:rPr>
            </w:r>
            <w:r>
              <w:rPr>
                <w:b/>
                <w:sz w:val="17"/>
              </w:rPr>
              <w:t>Target for first investor call</w:t>
            </w:r>
          </w:p>
        </w:tc>
        <w:tc>
          <w:tcPr>
            <w:tcW w:type="dxa" w:w="1608"/>
          </w:tcPr>
          <w:p>
            <w:r>
              <w:rPr>
                <w:b/>
                <w:sz w:val="17"/>
              </w:rPr>
            </w:r>
            <w:r>
              <w:rPr>
                <w:b/>
                <w:sz w:val="17"/>
              </w:rPr>
              <w:t>How to close it</w:t>
            </w:r>
          </w:p>
        </w:tc>
        <w:tc>
          <w:tcPr>
            <w:tcW w:type="dxa" w:w="1608"/>
          </w:tcPr>
          <w:p>
            <w:r>
              <w:rPr>
                <w:b/>
                <w:sz w:val="17"/>
              </w:rPr>
            </w:r>
            <w:r>
              <w:rPr>
                <w:b/>
                <w:sz w:val="17"/>
              </w:rPr>
              <w:t>Owner / by</w:t>
            </w:r>
          </w:p>
        </w:tc>
      </w:tr>
      <w:tr>
        <w:tc>
          <w:tcPr>
            <w:tcW w:type="dxa" w:w="1608"/>
          </w:tcPr>
          <w:p>
            <w:r>
              <w:rPr>
                <w:b w:val="0"/>
                <w:sz w:val="17"/>
              </w:rPr>
            </w:r>
            <w:r>
              <w:rPr>
                <w:b w:val="0"/>
                <w:sz w:val="17"/>
              </w:rPr>
              <w:t>1</w:t>
            </w:r>
          </w:p>
        </w:tc>
        <w:tc>
          <w:tcPr>
            <w:tcW w:type="dxa" w:w="1608"/>
          </w:tcPr>
          <w:p>
            <w:r>
              <w:rPr>
                <w:b w:val="0"/>
                <w:sz w:val="17"/>
              </w:rPr>
            </w:r>
            <w:r>
              <w:rPr>
                <w:b w:val="0"/>
                <w:sz w:val="17"/>
              </w:rPr>
              <w:t>Legal entity, bank, accountant</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Incorporate Vytalix (E&amp;W) after name clearance; bank; accountant; SEIS/EIS advance assurance submitted</w:t>
            </w:r>
          </w:p>
        </w:tc>
        <w:tc>
          <w:tcPr>
            <w:tcW w:type="dxa" w:w="1608"/>
          </w:tcPr>
          <w:p>
            <w:r>
              <w:rPr>
                <w:b w:val="0"/>
                <w:sz w:val="17"/>
              </w:rPr>
            </w:r>
            <w:r>
              <w:rPr>
                <w:b w:val="0"/>
                <w:sz w:val="17"/>
              </w:rPr>
              <w:t>Founder · Day 10</w:t>
            </w:r>
          </w:p>
        </w:tc>
      </w:tr>
      <w:tr>
        <w:tc>
          <w:tcPr>
            <w:tcW w:type="dxa" w:w="1608"/>
          </w:tcPr>
          <w:p>
            <w:r>
              <w:rPr>
                <w:b w:val="0"/>
                <w:sz w:val="17"/>
              </w:rPr>
            </w:r>
            <w:r>
              <w:rPr>
                <w:b w:val="0"/>
                <w:sz w:val="17"/>
              </w:rPr>
              <w:t>2</w:t>
            </w:r>
          </w:p>
        </w:tc>
        <w:tc>
          <w:tcPr>
            <w:tcW w:type="dxa" w:w="1608"/>
          </w:tcPr>
          <w:p>
            <w:r>
              <w:rPr>
                <w:b w:val="0"/>
                <w:sz w:val="17"/>
              </w:rPr>
            </w:r>
            <w:r>
              <w:rPr>
                <w:b w:val="0"/>
                <w:sz w:val="17"/>
              </w:rPr>
              <w:t>MaternaLink IP owned or licensed in writing</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 xml:space="preserve">Heads of terms then IP deed with David Agunede (options in </w:t>
            </w:r>
            <w:r>
              <w:rPr>
                <w:rFonts w:ascii="Consolas" w:hAnsi="Consolas"/>
                <w:b w:val="0"/>
                <w:sz w:val="17"/>
              </w:rPr>
              <w:t>02_GROUP_STRUCTURE.md</w:t>
            </w:r>
            <w:r>
              <w:rPr>
                <w:b w:val="0"/>
                <w:sz w:val="17"/>
              </w:rPr>
              <w:t>); contributor IP assignments for any developer</w:t>
            </w:r>
          </w:p>
        </w:tc>
        <w:tc>
          <w:tcPr>
            <w:tcW w:type="dxa" w:w="1608"/>
          </w:tcPr>
          <w:p>
            <w:r>
              <w:rPr>
                <w:b w:val="0"/>
                <w:sz w:val="17"/>
              </w:rPr>
            </w:r>
            <w:r>
              <w:rPr>
                <w:b w:val="0"/>
                <w:sz w:val="17"/>
              </w:rPr>
              <w:t>Founder + solicitor · Day 30</w:t>
            </w:r>
          </w:p>
        </w:tc>
      </w:tr>
      <w:tr>
        <w:tc>
          <w:tcPr>
            <w:tcW w:type="dxa" w:w="1608"/>
          </w:tcPr>
          <w:p>
            <w:r>
              <w:rPr>
                <w:b w:val="0"/>
                <w:sz w:val="17"/>
              </w:rPr>
            </w:r>
            <w:r>
              <w:rPr>
                <w:b w:val="0"/>
                <w:sz w:val="17"/>
              </w:rPr>
              <w:t>3</w:t>
            </w:r>
          </w:p>
        </w:tc>
        <w:tc>
          <w:tcPr>
            <w:tcW w:type="dxa" w:w="1608"/>
          </w:tcPr>
          <w:p>
            <w:r>
              <w:rPr>
                <w:b w:val="0"/>
                <w:sz w:val="17"/>
              </w:rPr>
            </w:r>
            <w:r>
              <w:rPr>
                <w:b w:val="0"/>
                <w:sz w:val="17"/>
              </w:rPr>
              <w:t>No unvalidated clinical claims anywhere public</w:t>
            </w:r>
          </w:p>
        </w:tc>
        <w:tc>
          <w:tcPr>
            <w:tcW w:type="dxa" w:w="1608"/>
          </w:tcPr>
          <w:p>
            <w:r>
              <w:rPr>
                <w:b w:val="0"/>
                <w:sz w:val="17"/>
              </w:rPr>
            </w:r>
            <w:r>
              <w:rPr>
                <w:b w:val="0"/>
                <w:sz w:val="17"/>
              </w:rPr>
              <w:t>✗ (prototype shows suggested clinical actions; 2025 deck circulates)</w:t>
            </w:r>
          </w:p>
        </w:tc>
        <w:tc>
          <w:tcPr>
            <w:tcW w:type="dxa" w:w="1608"/>
          </w:tcPr>
          <w:p>
            <w:r>
              <w:rPr>
                <w:b w:val="0"/>
                <w:sz w:val="17"/>
              </w:rPr>
            </w:r>
            <w:r>
              <w:rPr>
                <w:b w:val="0"/>
                <w:sz w:val="17"/>
              </w:rPr>
              <w:t>✓</w:t>
            </w:r>
          </w:p>
        </w:tc>
        <w:tc>
          <w:tcPr>
            <w:tcW w:type="dxa" w:w="1608"/>
          </w:tcPr>
          <w:p>
            <w:r>
              <w:rPr>
                <w:b w:val="0"/>
                <w:sz w:val="17"/>
              </w:rPr>
            </w:r>
            <w:r>
              <w:rPr>
                <w:b w:val="0"/>
                <w:sz w:val="17"/>
              </w:rPr>
              <w:t>Retire the 2025 deck; relabel prototype rules; put prototype behind auth; remove identifiable photos</w:t>
            </w:r>
          </w:p>
        </w:tc>
        <w:tc>
          <w:tcPr>
            <w:tcW w:type="dxa" w:w="1608"/>
          </w:tcPr>
          <w:p>
            <w:r>
              <w:rPr>
                <w:b w:val="0"/>
                <w:sz w:val="17"/>
              </w:rPr>
            </w:r>
            <w:r>
              <w:rPr>
                <w:b w:val="0"/>
                <w:sz w:val="17"/>
              </w:rPr>
              <w:t>Founder · Day 3–14</w:t>
            </w:r>
          </w:p>
        </w:tc>
      </w:tr>
      <w:tr>
        <w:tc>
          <w:tcPr>
            <w:tcW w:type="dxa" w:w="1608"/>
          </w:tcPr>
          <w:p>
            <w:r>
              <w:rPr>
                <w:b w:val="0"/>
                <w:sz w:val="17"/>
              </w:rPr>
            </w:r>
            <w:r>
              <w:rPr>
                <w:b w:val="0"/>
                <w:sz w:val="17"/>
              </w:rPr>
              <w:t>4</w:t>
            </w:r>
          </w:p>
        </w:tc>
        <w:tc>
          <w:tcPr>
            <w:tcW w:type="dxa" w:w="1608"/>
          </w:tcPr>
          <w:p>
            <w:r>
              <w:rPr>
                <w:b w:val="0"/>
                <w:sz w:val="17"/>
              </w:rPr>
            </w:r>
            <w:r>
              <w:rPr>
                <w:b w:val="0"/>
                <w:sz w:val="17"/>
              </w:rPr>
              <w:t>Name and trademark clearance</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Knock-out searches UK IPO/EUIPO/USPTO; file UK TM classes 9, 41, 42, 44 for VYTALIX and MATERNALINK</w:t>
            </w:r>
          </w:p>
        </w:tc>
        <w:tc>
          <w:tcPr>
            <w:tcW w:type="dxa" w:w="1608"/>
          </w:tcPr>
          <w:p>
            <w:r>
              <w:rPr>
                <w:b w:val="0"/>
                <w:sz w:val="17"/>
              </w:rPr>
            </w:r>
            <w:r>
              <w:rPr>
                <w:b w:val="0"/>
                <w:sz w:val="17"/>
              </w:rPr>
              <w:t>Founder + TM attorney · Day 5 / Day 20</w:t>
            </w:r>
          </w:p>
        </w:tc>
      </w:tr>
      <w:tr>
        <w:tc>
          <w:tcPr>
            <w:tcW w:type="dxa" w:w="1608"/>
          </w:tcPr>
          <w:p>
            <w:r>
              <w:rPr>
                <w:b w:val="0"/>
                <w:sz w:val="17"/>
              </w:rPr>
            </w:r>
            <w:r>
              <w:rPr>
                <w:b w:val="0"/>
                <w:sz w:val="17"/>
              </w:rPr>
              <w:t>5</w:t>
            </w:r>
          </w:p>
        </w:tc>
        <w:tc>
          <w:tcPr>
            <w:tcW w:type="dxa" w:w="1608"/>
          </w:tcPr>
          <w:p>
            <w:r>
              <w:rPr>
                <w:b w:val="0"/>
                <w:sz w:val="17"/>
              </w:rPr>
            </w:r>
            <w:r>
              <w:rPr>
                <w:b w:val="0"/>
                <w:sz w:val="17"/>
              </w:rPr>
              <w:t>First revenue</w:t>
            </w:r>
          </w:p>
        </w:tc>
        <w:tc>
          <w:tcPr>
            <w:tcW w:type="dxa" w:w="1608"/>
          </w:tcPr>
          <w:p>
            <w:r>
              <w:rPr>
                <w:b w:val="0"/>
                <w:sz w:val="17"/>
              </w:rPr>
            </w:r>
            <w:r>
              <w:rPr>
                <w:b w:val="0"/>
                <w:sz w:val="17"/>
              </w:rPr>
              <w:t>✗</w:t>
            </w:r>
          </w:p>
        </w:tc>
        <w:tc>
          <w:tcPr>
            <w:tcW w:type="dxa" w:w="1608"/>
          </w:tcPr>
          <w:p>
            <w:r>
              <w:rPr>
                <w:b w:val="0"/>
                <w:sz w:val="17"/>
              </w:rPr>
            </w:r>
            <w:r>
              <w:rPr>
                <w:b w:val="0"/>
                <w:sz w:val="17"/>
              </w:rPr>
              <w:t>1 signed SOW</w:t>
            </w:r>
          </w:p>
        </w:tc>
        <w:tc>
          <w:tcPr>
            <w:tcW w:type="dxa" w:w="1608"/>
          </w:tcPr>
          <w:p>
            <w:r>
              <w:rPr>
                <w:b w:val="0"/>
                <w:sz w:val="17"/>
              </w:rPr>
            </w:r>
            <w:r>
              <w:rPr>
                <w:b w:val="0"/>
                <w:sz w:val="17"/>
              </w:rPr>
              <w:t>Advisory packages live; 40 conversations; first engagement</w:t>
            </w:r>
          </w:p>
        </w:tc>
        <w:tc>
          <w:tcPr>
            <w:tcW w:type="dxa" w:w="1608"/>
          </w:tcPr>
          <w:p>
            <w:r>
              <w:rPr>
                <w:b w:val="0"/>
                <w:sz w:val="17"/>
              </w:rPr>
            </w:r>
            <w:r>
              <w:rPr>
                <w:b w:val="0"/>
                <w:sz w:val="17"/>
              </w:rPr>
              <w:t>Founder · Day 45</w:t>
            </w:r>
          </w:p>
        </w:tc>
      </w:tr>
      <w:tr>
        <w:tc>
          <w:tcPr>
            <w:tcW w:type="dxa" w:w="1608"/>
          </w:tcPr>
          <w:p>
            <w:r>
              <w:rPr>
                <w:b w:val="0"/>
                <w:sz w:val="17"/>
              </w:rPr>
            </w:r>
            <w:r>
              <w:rPr>
                <w:b w:val="0"/>
                <w:sz w:val="17"/>
              </w:rPr>
              <w:t>6</w:t>
            </w:r>
          </w:p>
        </w:tc>
        <w:tc>
          <w:tcPr>
            <w:tcW w:type="dxa" w:w="1608"/>
          </w:tcPr>
          <w:p>
            <w:r>
              <w:rPr>
                <w:b w:val="0"/>
                <w:sz w:val="17"/>
              </w:rPr>
            </w:r>
            <w:r>
              <w:rPr>
                <w:b w:val="0"/>
                <w:sz w:val="17"/>
              </w:rPr>
              <w:t>Pilot partner</w:t>
            </w:r>
          </w:p>
        </w:tc>
        <w:tc>
          <w:tcPr>
            <w:tcW w:type="dxa" w:w="1608"/>
          </w:tcPr>
          <w:p>
            <w:r>
              <w:rPr>
                <w:b w:val="0"/>
                <w:sz w:val="17"/>
              </w:rPr>
            </w:r>
            <w:r>
              <w:rPr>
                <w:b w:val="0"/>
                <w:sz w:val="17"/>
              </w:rPr>
              <w:t>✗</w:t>
            </w:r>
          </w:p>
        </w:tc>
        <w:tc>
          <w:tcPr>
            <w:tcW w:type="dxa" w:w="1608"/>
          </w:tcPr>
          <w:p>
            <w:r>
              <w:rPr>
                <w:b w:val="0"/>
                <w:sz w:val="17"/>
              </w:rPr>
            </w:r>
            <w:r>
              <w:rPr>
                <w:b w:val="0"/>
                <w:sz w:val="17"/>
              </w:rPr>
              <w:t>1 LOI (UK service evaluation or Nigeria NGO cohort)</w:t>
            </w:r>
          </w:p>
        </w:tc>
        <w:tc>
          <w:tcPr>
            <w:tcW w:type="dxa" w:w="1608"/>
          </w:tcPr>
          <w:p>
            <w:r>
              <w:rPr>
                <w:b w:val="0"/>
                <w:sz w:val="17"/>
              </w:rPr>
            </w:r>
            <w:r>
              <w:rPr>
                <w:b w:val="0"/>
                <w:sz w:val="17"/>
              </w:rPr>
              <w:t xml:space="preserve">15 discovery interviews; pilot proposal from </w:t>
            </w:r>
            <w:r>
              <w:rPr>
                <w:rFonts w:ascii="Consolas" w:hAnsi="Consolas"/>
                <w:b w:val="0"/>
                <w:sz w:val="17"/>
              </w:rPr>
              <w:t>maternalink-site/pilot.html</w:t>
            </w:r>
          </w:p>
        </w:tc>
        <w:tc>
          <w:tcPr>
            <w:tcW w:type="dxa" w:w="1608"/>
          </w:tcPr>
          <w:p>
            <w:r>
              <w:rPr>
                <w:b w:val="0"/>
                <w:sz w:val="17"/>
              </w:rPr>
            </w:r>
            <w:r>
              <w:rPr>
                <w:b w:val="0"/>
                <w:sz w:val="17"/>
              </w:rPr>
              <w:t>Founder · Day 60</w:t>
            </w:r>
          </w:p>
        </w:tc>
      </w:tr>
      <w:tr>
        <w:tc>
          <w:tcPr>
            <w:tcW w:type="dxa" w:w="1608"/>
          </w:tcPr>
          <w:p>
            <w:r>
              <w:rPr>
                <w:b w:val="0"/>
                <w:sz w:val="17"/>
              </w:rPr>
            </w:r>
            <w:r>
              <w:rPr>
                <w:b w:val="0"/>
                <w:sz w:val="17"/>
              </w:rPr>
              <w:t>7</w:t>
            </w:r>
          </w:p>
        </w:tc>
        <w:tc>
          <w:tcPr>
            <w:tcW w:type="dxa" w:w="1608"/>
          </w:tcPr>
          <w:p>
            <w:r>
              <w:rPr>
                <w:b w:val="0"/>
                <w:sz w:val="17"/>
              </w:rPr>
            </w:r>
            <w:r>
              <w:rPr>
                <w:b w:val="0"/>
                <w:sz w:val="17"/>
              </w:rPr>
              <w:t>Clinical and advisory board</w:t>
            </w:r>
          </w:p>
        </w:tc>
        <w:tc>
          <w:tcPr>
            <w:tcW w:type="dxa" w:w="1608"/>
          </w:tcPr>
          <w:p>
            <w:r>
              <w:rPr>
                <w:b w:val="0"/>
                <w:sz w:val="17"/>
              </w:rPr>
            </w:r>
            <w:r>
              <w:rPr>
                <w:b w:val="0"/>
                <w:sz w:val="17"/>
              </w:rPr>
              <w:t>✗</w:t>
            </w:r>
          </w:p>
        </w:tc>
        <w:tc>
          <w:tcPr>
            <w:tcW w:type="dxa" w:w="1608"/>
          </w:tcPr>
          <w:p>
            <w:r>
              <w:rPr>
                <w:b w:val="0"/>
                <w:sz w:val="17"/>
              </w:rPr>
            </w:r>
            <w:r>
              <w:rPr>
                <w:b w:val="0"/>
                <w:sz w:val="17"/>
              </w:rPr>
              <w:t>2 confirmed (obstetric/midwifery + NHS digital or Nigerian health-system leader)</w:t>
            </w:r>
          </w:p>
        </w:tc>
        <w:tc>
          <w:tcPr>
            <w:tcW w:type="dxa" w:w="1608"/>
          </w:tcPr>
          <w:p>
            <w:r>
              <w:rPr>
                <w:b w:val="0"/>
                <w:sz w:val="17"/>
              </w:rPr>
            </w:r>
            <w:r>
              <w:rPr>
                <w:b w:val="0"/>
                <w:sz w:val="17"/>
              </w:rPr>
              <w:t>Named target list; 20-minute asks; advisory agreements with equity in the option pool</w:t>
            </w:r>
          </w:p>
        </w:tc>
        <w:tc>
          <w:tcPr>
            <w:tcW w:type="dxa" w:w="1608"/>
          </w:tcPr>
          <w:p>
            <w:r>
              <w:rPr>
                <w:b w:val="0"/>
                <w:sz w:val="17"/>
              </w:rPr>
            </w:r>
            <w:r>
              <w:rPr>
                <w:b w:val="0"/>
                <w:sz w:val="17"/>
              </w:rPr>
              <w:t>Founder · Day 60</w:t>
            </w:r>
          </w:p>
        </w:tc>
      </w:tr>
      <w:tr>
        <w:tc>
          <w:tcPr>
            <w:tcW w:type="dxa" w:w="1608"/>
          </w:tcPr>
          <w:p>
            <w:r>
              <w:rPr>
                <w:b w:val="0"/>
                <w:sz w:val="17"/>
              </w:rPr>
            </w:r>
            <w:r>
              <w:rPr>
                <w:b w:val="0"/>
                <w:sz w:val="17"/>
              </w:rPr>
              <w:t>8</w:t>
            </w:r>
          </w:p>
        </w:tc>
        <w:tc>
          <w:tcPr>
            <w:tcW w:type="dxa" w:w="1608"/>
          </w:tcPr>
          <w:p>
            <w:r>
              <w:rPr>
                <w:b w:val="0"/>
                <w:sz w:val="17"/>
              </w:rPr>
            </w:r>
            <w:r>
              <w:rPr>
                <w:b w:val="0"/>
                <w:sz w:val="17"/>
              </w:rPr>
              <w:t>Product evidence</w:t>
            </w:r>
          </w:p>
        </w:tc>
        <w:tc>
          <w:tcPr>
            <w:tcW w:type="dxa" w:w="1608"/>
          </w:tcPr>
          <w:p>
            <w:r>
              <w:rPr>
                <w:b w:val="0"/>
                <w:sz w:val="17"/>
              </w:rPr>
            </w:r>
            <w:r>
              <w:rPr>
                <w:b w:val="0"/>
                <w:sz w:val="17"/>
              </w:rPr>
              <w:t>Prototype of unknown provenance</w:t>
            </w:r>
          </w:p>
        </w:tc>
        <w:tc>
          <w:tcPr>
            <w:tcW w:type="dxa" w:w="1608"/>
          </w:tcPr>
          <w:p>
            <w:r>
              <w:rPr>
                <w:b w:val="0"/>
                <w:sz w:val="17"/>
              </w:rPr>
            </w:r>
            <w:r>
              <w:rPr>
                <w:b w:val="0"/>
                <w:sz w:val="17"/>
              </w:rPr>
              <w:t>Audited prototype + PRD + intended-use statement + hazard log opened</w:t>
            </w:r>
          </w:p>
        </w:tc>
        <w:tc>
          <w:tcPr>
            <w:tcW w:type="dxa" w:w="1608"/>
          </w:tcPr>
          <w:p>
            <w:r>
              <w:rPr>
                <w:b w:val="0"/>
                <w:sz w:val="17"/>
              </w:rPr>
            </w:r>
            <w:r>
              <w:rPr>
                <w:b w:val="0"/>
                <w:sz w:val="17"/>
              </w:rPr>
              <w:t>Code audit; clinician sign-off of intended use</w:t>
            </w:r>
          </w:p>
        </w:tc>
        <w:tc>
          <w:tcPr>
            <w:tcW w:type="dxa" w:w="1608"/>
          </w:tcPr>
          <w:p>
            <w:r>
              <w:rPr>
                <w:b w:val="0"/>
                <w:sz w:val="17"/>
              </w:rPr>
            </w:r>
            <w:r>
              <w:rPr>
                <w:b w:val="0"/>
                <w:sz w:val="17"/>
              </w:rPr>
              <w:t>CTO/CPO (fractional) · Day 30</w:t>
            </w:r>
          </w:p>
        </w:tc>
      </w:tr>
      <w:tr>
        <w:tc>
          <w:tcPr>
            <w:tcW w:type="dxa" w:w="1608"/>
          </w:tcPr>
          <w:p>
            <w:r>
              <w:rPr>
                <w:b w:val="0"/>
                <w:sz w:val="17"/>
              </w:rPr>
            </w:r>
            <w:r>
              <w:rPr>
                <w:b w:val="0"/>
                <w:sz w:val="17"/>
              </w:rPr>
              <w:t>9</w:t>
            </w:r>
          </w:p>
        </w:tc>
        <w:tc>
          <w:tcPr>
            <w:tcW w:type="dxa" w:w="1608"/>
          </w:tcPr>
          <w:p>
            <w:r>
              <w:rPr>
                <w:b w:val="0"/>
                <w:sz w:val="17"/>
              </w:rPr>
            </w:r>
            <w:r>
              <w:rPr>
                <w:b w:val="0"/>
                <w:sz w:val="17"/>
              </w:rPr>
              <w:t>Financial model and round</w:t>
            </w:r>
          </w:p>
        </w:tc>
        <w:tc>
          <w:tcPr>
            <w:tcW w:type="dxa" w:w="1608"/>
          </w:tcPr>
          <w:p>
            <w:r>
              <w:rPr>
                <w:b w:val="0"/>
                <w:sz w:val="17"/>
              </w:rPr>
            </w:r>
            <w:r>
              <w:rPr>
                <w:b w:val="0"/>
                <w:sz w:val="17"/>
              </w:rPr>
              <w:t>✓ (scenarios)</w:t>
            </w:r>
          </w:p>
        </w:tc>
        <w:tc>
          <w:tcPr>
            <w:tcW w:type="dxa" w:w="1608"/>
          </w:tcPr>
          <w:p>
            <w:r>
              <w:rPr>
                <w:b w:val="0"/>
                <w:sz w:val="17"/>
              </w:rPr>
            </w:r>
            <w:r>
              <w:rPr>
                <w:b w:val="0"/>
                <w:sz w:val="17"/>
              </w:rPr>
              <w:t>✓ with actuals from months 1–3</w:t>
            </w:r>
          </w:p>
        </w:tc>
        <w:tc>
          <w:tcPr>
            <w:tcW w:type="dxa" w:w="1608"/>
          </w:tcPr>
          <w:p>
            <w:r>
              <w:rPr>
                <w:b w:val="0"/>
                <w:sz w:val="17"/>
              </w:rPr>
            </w:r>
            <w:r>
              <w:rPr>
                <w:b w:val="0"/>
                <w:sz w:val="17"/>
              </w:rPr>
              <w:t xml:space="preserve">Update </w:t>
            </w:r>
            <w:r>
              <w:rPr>
                <w:rFonts w:ascii="Consolas" w:hAnsi="Consolas"/>
                <w:b w:val="0"/>
                <w:sz w:val="17"/>
              </w:rPr>
              <w:t>finance/</w:t>
            </w:r>
            <w:r>
              <w:rPr>
                <w:b w:val="0"/>
                <w:sz w:val="17"/>
              </w:rPr>
              <w:t xml:space="preserve"> with real costs; pick round size (£250k–£500k)</w:t>
            </w:r>
          </w:p>
        </w:tc>
        <w:tc>
          <w:tcPr>
            <w:tcW w:type="dxa" w:w="1608"/>
          </w:tcPr>
          <w:p>
            <w:r>
              <w:rPr>
                <w:b w:val="0"/>
                <w:sz w:val="17"/>
              </w:rPr>
            </w:r>
            <w:r>
              <w:rPr>
                <w:b w:val="0"/>
                <w:sz w:val="17"/>
              </w:rPr>
              <w:t>CFO role · Day 60</w:t>
            </w:r>
          </w:p>
        </w:tc>
      </w:tr>
      <w:tr>
        <w:tc>
          <w:tcPr>
            <w:tcW w:type="dxa" w:w="1608"/>
          </w:tcPr>
          <w:p>
            <w:r>
              <w:rPr>
                <w:b w:val="0"/>
                <w:sz w:val="17"/>
              </w:rPr>
            </w:r>
            <w:r>
              <w:rPr>
                <w:b w:val="0"/>
                <w:sz w:val="17"/>
              </w:rPr>
              <w:t>10</w:t>
            </w:r>
          </w:p>
        </w:tc>
        <w:tc>
          <w:tcPr>
            <w:tcW w:type="dxa" w:w="1608"/>
          </w:tcPr>
          <w:p>
            <w:r>
              <w:rPr>
                <w:b w:val="0"/>
                <w:sz w:val="17"/>
              </w:rPr>
            </w:r>
            <w:r>
              <w:rPr>
                <w:b w:val="0"/>
                <w:sz w:val="17"/>
              </w:rPr>
              <w:t>Data room</w:t>
            </w:r>
          </w:p>
        </w:tc>
        <w:tc>
          <w:tcPr>
            <w:tcW w:type="dxa" w:w="1608"/>
          </w:tcPr>
          <w:p>
            <w:r>
              <w:rPr>
                <w:b w:val="0"/>
                <w:sz w:val="17"/>
              </w:rPr>
            </w:r>
            <w:r>
              <w:rPr>
                <w:b w:val="0"/>
                <w:sz w:val="17"/>
              </w:rPr>
              <w:t>✗</w:t>
            </w:r>
          </w:p>
        </w:tc>
        <w:tc>
          <w:tcPr>
            <w:tcW w:type="dxa" w:w="1608"/>
          </w:tcPr>
          <w:p>
            <w:r>
              <w:rPr>
                <w:b w:val="0"/>
                <w:sz w:val="17"/>
              </w:rPr>
            </w:r>
            <w:r>
              <w:rPr>
                <w:b w:val="0"/>
                <w:sz w:val="17"/>
              </w:rPr>
              <w:t>✓</w:t>
            </w:r>
          </w:p>
        </w:tc>
        <w:tc>
          <w:tcPr>
            <w:tcW w:type="dxa" w:w="1608"/>
          </w:tcPr>
          <w:p>
            <w:r>
              <w:rPr>
                <w:b w:val="0"/>
                <w:sz w:val="17"/>
              </w:rPr>
            </w:r>
            <w:r>
              <w:rPr>
                <w:b w:val="0"/>
                <w:sz w:val="17"/>
              </w:rPr>
              <w:t>Index in §2 below; host on a shared drive with access logging</w:t>
            </w:r>
          </w:p>
        </w:tc>
        <w:tc>
          <w:tcPr>
            <w:tcW w:type="dxa" w:w="1608"/>
          </w:tcPr>
          <w:p>
            <w:r>
              <w:rPr>
                <w:b w:val="0"/>
                <w:sz w:val="17"/>
              </w:rPr>
            </w:r>
            <w:r>
              <w:rPr>
                <w:b w:val="0"/>
                <w:sz w:val="17"/>
              </w:rPr>
              <w:t>Founder · Day 45</w:t>
            </w:r>
          </w:p>
        </w:tc>
      </w:tr>
      <w:tr>
        <w:tc>
          <w:tcPr>
            <w:tcW w:type="dxa" w:w="1608"/>
          </w:tcPr>
          <w:p>
            <w:r>
              <w:rPr>
                <w:b w:val="0"/>
                <w:sz w:val="17"/>
              </w:rPr>
            </w:r>
            <w:r>
              <w:rPr>
                <w:b w:val="0"/>
                <w:sz w:val="17"/>
              </w:rPr>
              <w:t>11</w:t>
            </w:r>
          </w:p>
        </w:tc>
        <w:tc>
          <w:tcPr>
            <w:tcW w:type="dxa" w:w="1608"/>
          </w:tcPr>
          <w:p>
            <w:r>
              <w:rPr>
                <w:b w:val="0"/>
                <w:sz w:val="17"/>
              </w:rPr>
            </w:r>
            <w:r>
              <w:rPr>
                <w:b w:val="0"/>
                <w:sz w:val="17"/>
              </w:rPr>
              <w:t>Investor list and outreach system</w:t>
            </w:r>
          </w:p>
        </w:tc>
        <w:tc>
          <w:tcPr>
            <w:tcW w:type="dxa" w:w="1608"/>
          </w:tcPr>
          <w:p>
            <w:r>
              <w:rPr>
                <w:b w:val="0"/>
                <w:sz w:val="17"/>
              </w:rPr>
            </w:r>
            <w:r>
              <w:rPr>
                <w:b w:val="0"/>
                <w:sz w:val="17"/>
              </w:rPr>
              <w:t>✓ (316-investor CRM)</w:t>
            </w:r>
          </w:p>
        </w:tc>
        <w:tc>
          <w:tcPr>
            <w:tcW w:type="dxa" w:w="1608"/>
          </w:tcPr>
          <w:p>
            <w:r>
              <w:rPr>
                <w:b w:val="0"/>
                <w:sz w:val="17"/>
              </w:rPr>
            </w:r>
            <w:r>
              <w:rPr>
                <w:b w:val="0"/>
                <w:sz w:val="17"/>
              </w:rPr>
              <w:t>✓ verified Top 25 phones</w:t>
            </w:r>
          </w:p>
        </w:tc>
        <w:tc>
          <w:tcPr>
            <w:tcW w:type="dxa" w:w="1608"/>
          </w:tcPr>
          <w:p>
            <w:r>
              <w:rPr>
                <w:b w:val="0"/>
                <w:sz w:val="17"/>
              </w:rPr>
            </w:r>
            <w:r>
              <w:rPr>
                <w:b w:val="0"/>
                <w:sz w:val="17"/>
              </w:rPr>
              <w:t xml:space="preserve">Re-verify Call List 1; scripts in </w:t>
            </w:r>
            <w:r>
              <w:rPr>
                <w:rFonts w:ascii="Consolas" w:hAnsi="Consolas"/>
                <w:b w:val="0"/>
                <w:sz w:val="17"/>
              </w:rPr>
              <w:t>/investors/OUTREACH_TOP25.md</w:t>
            </w:r>
          </w:p>
        </w:tc>
        <w:tc>
          <w:tcPr>
            <w:tcW w:type="dxa" w:w="1608"/>
          </w:tcPr>
          <w:p>
            <w:r>
              <w:rPr>
                <w:b w:val="0"/>
                <w:sz w:val="17"/>
              </w:rPr>
            </w:r>
            <w:r>
              <w:rPr>
                <w:b w:val="0"/>
                <w:sz w:val="17"/>
              </w:rPr>
              <w:t>Founder · Day 55</w:t>
            </w:r>
          </w:p>
        </w:tc>
      </w:tr>
      <w:tr>
        <w:tc>
          <w:tcPr>
            <w:tcW w:type="dxa" w:w="1608"/>
          </w:tcPr>
          <w:p>
            <w:r>
              <w:rPr>
                <w:b w:val="0"/>
                <w:sz w:val="17"/>
              </w:rPr>
            </w:r>
            <w:r>
              <w:rPr>
                <w:b w:val="0"/>
                <w:sz w:val="17"/>
              </w:rPr>
              <w:t>12</w:t>
            </w:r>
          </w:p>
        </w:tc>
        <w:tc>
          <w:tcPr>
            <w:tcW w:type="dxa" w:w="1608"/>
          </w:tcPr>
          <w:p>
            <w:r>
              <w:rPr>
                <w:b w:val="0"/>
                <w:sz w:val="17"/>
              </w:rPr>
            </w:r>
            <w:r>
              <w:rPr>
                <w:b w:val="0"/>
                <w:sz w:val="17"/>
              </w:rPr>
              <w:t>Compliance basics</w:t>
            </w:r>
          </w:p>
        </w:tc>
        <w:tc>
          <w:tcPr>
            <w:tcW w:type="dxa" w:w="1608"/>
          </w:tcPr>
          <w:p>
            <w:r>
              <w:rPr>
                <w:b w:val="0"/>
                <w:sz w:val="17"/>
              </w:rPr>
            </w:r>
            <w:r>
              <w:rPr>
                <w:b w:val="0"/>
                <w:sz w:val="17"/>
              </w:rPr>
              <w:t>✗</w:t>
            </w:r>
          </w:p>
        </w:tc>
        <w:tc>
          <w:tcPr>
            <w:tcW w:type="dxa" w:w="1608"/>
          </w:tcPr>
          <w:p>
            <w:r>
              <w:rPr>
                <w:b w:val="0"/>
                <w:sz w:val="17"/>
              </w:rPr>
            </w:r>
            <w:r>
              <w:rPr>
                <w:b w:val="0"/>
                <w:sz w:val="17"/>
              </w:rPr>
              <w:t>ICO registration, Cyber Essentials booked, PI/cyber insurance quotes</w:t>
            </w:r>
          </w:p>
        </w:tc>
        <w:tc>
          <w:tcPr>
            <w:tcW w:type="dxa" w:w="1608"/>
          </w:tcPr>
          <w:p>
            <w:r>
              <w:rPr>
                <w:b w:val="0"/>
                <w:sz w:val="17"/>
              </w:rPr>
            </w:r>
            <w:r>
              <w:rPr>
                <w:b w:val="0"/>
                <w:sz w:val="17"/>
              </w:rPr>
              <w:t xml:space="preserve">See </w:t>
            </w:r>
            <w:r>
              <w:rPr>
                <w:rFonts w:ascii="Consolas" w:hAnsi="Consolas"/>
                <w:b w:val="0"/>
                <w:sz w:val="17"/>
              </w:rPr>
              <w:t>15_LEGAL_AND_REGULATORY.md</w:t>
            </w:r>
          </w:p>
        </w:tc>
        <w:tc>
          <w:tcPr>
            <w:tcW w:type="dxa" w:w="1608"/>
          </w:tcPr>
          <w:p>
            <w:r>
              <w:rPr>
                <w:b w:val="0"/>
                <w:sz w:val="17"/>
              </w:rPr>
            </w:r>
            <w:r>
              <w:rPr>
                <w:b w:val="0"/>
                <w:sz w:val="17"/>
              </w:rPr>
              <w:t>Founder · Day 30</w:t>
            </w:r>
          </w:p>
        </w:tc>
      </w:tr>
      <w:tr>
        <w:tc>
          <w:tcPr>
            <w:tcW w:type="dxa" w:w="1608"/>
          </w:tcPr>
          <w:p>
            <w:r>
              <w:rPr>
                <w:b w:val="0"/>
                <w:sz w:val="17"/>
              </w:rPr>
            </w:r>
            <w:r>
              <w:rPr>
                <w:b w:val="0"/>
                <w:sz w:val="17"/>
              </w:rPr>
              <w:t>13</w:t>
            </w:r>
          </w:p>
        </w:tc>
        <w:tc>
          <w:tcPr>
            <w:tcW w:type="dxa" w:w="1608"/>
          </w:tcPr>
          <w:p>
            <w:r>
              <w:rPr>
                <w:b w:val="0"/>
                <w:sz w:val="17"/>
              </w:rPr>
            </w:r>
            <w:r>
              <w:rPr>
                <w:b w:val="0"/>
                <w:sz w:val="17"/>
              </w:rPr>
              <w:t>Founder story and commitment</w:t>
            </w:r>
          </w:p>
        </w:tc>
        <w:tc>
          <w:tcPr>
            <w:tcW w:type="dxa" w:w="1608"/>
          </w:tcPr>
          <w:p>
            <w:r>
              <w:rPr>
                <w:b w:val="0"/>
                <w:sz w:val="17"/>
              </w:rPr>
            </w:r>
            <w:r>
              <w:rPr>
                <w:b w:val="0"/>
                <w:sz w:val="17"/>
              </w:rPr>
              <w:t>Partial</w:t>
            </w:r>
          </w:p>
        </w:tc>
        <w:tc>
          <w:tcPr>
            <w:tcW w:type="dxa" w:w="1608"/>
          </w:tcPr>
          <w:p>
            <w:r>
              <w:rPr>
                <w:b w:val="0"/>
                <w:sz w:val="17"/>
              </w:rPr>
            </w:r>
            <w:r>
              <w:rPr>
                <w:b w:val="0"/>
                <w:sz w:val="17"/>
              </w:rPr>
              <w:t>Clear time allocation and role; second venture (Kemek) ring-fenced</w:t>
            </w:r>
          </w:p>
        </w:tc>
        <w:tc>
          <w:tcPr>
            <w:tcW w:type="dxa" w:w="1608"/>
          </w:tcPr>
          <w:p>
            <w:r>
              <w:rPr>
                <w:b w:val="0"/>
                <w:sz w:val="17"/>
              </w:rPr>
            </w:r>
            <w:r>
              <w:rPr>
                <w:b w:val="0"/>
                <w:sz w:val="17"/>
              </w:rPr>
              <w:t xml:space="preserve">Written founder commitment statement; time split rule in </w:t>
            </w:r>
            <w:r>
              <w:rPr>
                <w:rFonts w:ascii="Consolas" w:hAnsi="Consolas"/>
                <w:b w:val="0"/>
                <w:sz w:val="17"/>
              </w:rPr>
              <w:t>17_FOUNDER_OPERATING_SYSTEM.md</w:t>
            </w:r>
          </w:p>
        </w:tc>
        <w:tc>
          <w:tcPr>
            <w:tcW w:type="dxa" w:w="1608"/>
          </w:tcPr>
          <w:p>
            <w:r>
              <w:rPr>
                <w:b w:val="0"/>
                <w:sz w:val="17"/>
              </w:rPr>
            </w:r>
            <w:r>
              <w:rPr>
                <w:b w:val="0"/>
                <w:sz w:val="17"/>
              </w:rPr>
              <w:t>Founder · Day 7</w:t>
            </w:r>
          </w:p>
        </w:tc>
      </w:tr>
      <w:tr>
        <w:tc>
          <w:tcPr>
            <w:tcW w:type="dxa" w:w="1608"/>
          </w:tcPr>
          <w:p>
            <w:r>
              <w:rPr>
                <w:b w:val="0"/>
                <w:sz w:val="17"/>
              </w:rPr>
            </w:r>
            <w:r>
              <w:rPr>
                <w:b w:val="0"/>
                <w:sz w:val="17"/>
              </w:rPr>
              <w:t>14</w:t>
            </w:r>
          </w:p>
        </w:tc>
        <w:tc>
          <w:tcPr>
            <w:tcW w:type="dxa" w:w="1608"/>
          </w:tcPr>
          <w:p>
            <w:r>
              <w:rPr>
                <w:b w:val="0"/>
                <w:sz w:val="17"/>
              </w:rPr>
            </w:r>
            <w:r>
              <w:rPr>
                <w:b w:val="0"/>
                <w:sz w:val="17"/>
              </w:rPr>
              <w:t>Proof of demand</w:t>
            </w:r>
          </w:p>
        </w:tc>
        <w:tc>
          <w:tcPr>
            <w:tcW w:type="dxa" w:w="1608"/>
          </w:tcPr>
          <w:p>
            <w:r>
              <w:rPr>
                <w:b w:val="0"/>
                <w:sz w:val="17"/>
              </w:rPr>
            </w:r>
            <w:r>
              <w:rPr>
                <w:b w:val="0"/>
                <w:sz w:val="17"/>
              </w:rPr>
              <w:t>✗</w:t>
            </w:r>
          </w:p>
        </w:tc>
        <w:tc>
          <w:tcPr>
            <w:tcW w:type="dxa" w:w="1608"/>
          </w:tcPr>
          <w:p>
            <w:r>
              <w:rPr>
                <w:b w:val="0"/>
                <w:sz w:val="17"/>
              </w:rPr>
            </w:r>
            <w:r>
              <w:rPr>
                <w:b w:val="0"/>
                <w:sz w:val="17"/>
              </w:rPr>
              <w:t>15 interview summaries + 3 quotes (with consent)</w:t>
            </w:r>
          </w:p>
        </w:tc>
        <w:tc>
          <w:tcPr>
            <w:tcW w:type="dxa" w:w="1608"/>
          </w:tcPr>
          <w:p>
            <w:r>
              <w:rPr>
                <w:b w:val="0"/>
                <w:sz w:val="17"/>
              </w:rPr>
            </w:r>
            <w:r>
              <w:rPr>
                <w:b w:val="0"/>
                <w:sz w:val="17"/>
              </w:rPr>
              <w:t>Discovery interviews; report research</w:t>
            </w:r>
          </w:p>
        </w:tc>
        <w:tc>
          <w:tcPr>
            <w:tcW w:type="dxa" w:w="1608"/>
          </w:tcPr>
          <w:p>
            <w:r>
              <w:rPr>
                <w:b w:val="0"/>
                <w:sz w:val="17"/>
              </w:rPr>
            </w:r>
            <w:r>
              <w:rPr>
                <w:b w:val="0"/>
                <w:sz w:val="17"/>
              </w:rPr>
              <w:t>Founder · Day 60</w:t>
            </w:r>
          </w:p>
        </w:tc>
      </w:tr>
      <w:tr>
        <w:tc>
          <w:tcPr>
            <w:tcW w:type="dxa" w:w="1608"/>
          </w:tcPr>
          <w:p>
            <w:r>
              <w:rPr>
                <w:b w:val="0"/>
                <w:sz w:val="17"/>
              </w:rPr>
            </w:r>
            <w:r>
              <w:rPr>
                <w:b w:val="0"/>
                <w:sz w:val="17"/>
              </w:rPr>
              <w:t>15</w:t>
            </w:r>
          </w:p>
        </w:tc>
        <w:tc>
          <w:tcPr>
            <w:tcW w:type="dxa" w:w="1608"/>
          </w:tcPr>
          <w:p>
            <w:r>
              <w:rPr>
                <w:b w:val="0"/>
                <w:sz w:val="17"/>
              </w:rPr>
            </w:r>
            <w:r>
              <w:rPr>
                <w:b w:val="0"/>
                <w:sz w:val="17"/>
              </w:rPr>
              <w:t>Non-dilutive applications</w:t>
            </w:r>
          </w:p>
        </w:tc>
        <w:tc>
          <w:tcPr>
            <w:tcW w:type="dxa" w:w="1608"/>
          </w:tcPr>
          <w:p>
            <w:r>
              <w:rPr>
                <w:b w:val="0"/>
                <w:sz w:val="17"/>
              </w:rPr>
            </w:r>
            <w:r>
              <w:rPr>
                <w:b w:val="0"/>
                <w:sz w:val="17"/>
              </w:rPr>
              <w:t>✗</w:t>
            </w:r>
          </w:p>
        </w:tc>
        <w:tc>
          <w:tcPr>
            <w:tcW w:type="dxa" w:w="1608"/>
          </w:tcPr>
          <w:p>
            <w:r>
              <w:rPr>
                <w:b w:val="0"/>
                <w:sz w:val="17"/>
              </w:rPr>
            </w:r>
            <w:r>
              <w:rPr>
                <w:b w:val="0"/>
                <w:sz w:val="17"/>
              </w:rPr>
              <w:t>1 submitted (Innovate UK Smart or SBRI Healthcare when open)</w:t>
            </w:r>
          </w:p>
        </w:tc>
        <w:tc>
          <w:tcPr>
            <w:tcW w:type="dxa" w:w="1608"/>
          </w:tcPr>
          <w:p>
            <w:r>
              <w:rPr>
                <w:b w:val="0"/>
                <w:sz w:val="17"/>
              </w:rPr>
            </w:r>
            <w:r>
              <w:rPr>
                <w:b w:val="0"/>
                <w:sz w:val="17"/>
              </w:rPr>
              <w:t xml:space="preserve">See </w:t>
            </w:r>
            <w:r>
              <w:rPr>
                <w:rFonts w:ascii="Consolas" w:hAnsi="Consolas"/>
                <w:b w:val="0"/>
                <w:sz w:val="17"/>
              </w:rPr>
              <w:t>09_FUNDING_STRATEGY.md</w:t>
            </w:r>
            <w:r>
              <w:rPr>
                <w:b w:val="0"/>
                <w:sz w:val="17"/>
              </w:rPr>
              <w:t xml:space="preserve"> and </w:t>
            </w:r>
            <w:r>
              <w:rPr>
                <w:rFonts w:ascii="Consolas" w:hAnsi="Consolas"/>
                <w:b w:val="0"/>
                <w:sz w:val="17"/>
              </w:rPr>
              <w:t>/investors/NON_DILUTIVE_FUNDING_ROUTES.md</w:t>
            </w:r>
          </w:p>
        </w:tc>
        <w:tc>
          <w:tcPr>
            <w:tcW w:type="dxa" w:w="1608"/>
          </w:tcPr>
          <w:p>
            <w:r>
              <w:rPr>
                <w:b w:val="0"/>
                <w:sz w:val="17"/>
              </w:rPr>
            </w:r>
            <w:r>
              <w:rPr>
                <w:b w:val="0"/>
                <w:sz w:val="17"/>
              </w:rPr>
              <w:t>Founder · Day 75</w:t>
            </w:r>
          </w:p>
        </w:tc>
      </w:tr>
    </w:tbl>
    <w:p/>
    <w:p>
      <w:r>
        <w:rPr>
          <w:b/>
        </w:rPr>
        <w:t>Rule:</w:t>
      </w:r>
      <w:r>
        <w:t xml:space="preserve"> do not take a first investor meeting until items 1–4 are ✓ and at least two of 5–7 are ✓. A premature meeting with a Top 25 fund costs you that fund for 12 months.</w:t>
      </w:r>
    </w:p>
    <w:p>
      <w:pPr>
        <w:pStyle w:val="Heading2"/>
      </w:pPr>
      <w:r>
        <w:t>2. Data-room index (build it in this order)</w:t>
      </w:r>
    </w:p>
    <w:p>
      <w:pPr>
        <w:pStyle w:val="ListNumber"/>
      </w:pPr>
      <w:r>
        <w:t>Company: certificate of incorporation, articles, cap table, SEIS/EIS advance-assurance correspondence, director details.</w:t>
      </w:r>
    </w:p>
    <w:p>
      <w:pPr>
        <w:pStyle w:val="ListNumber"/>
      </w:pPr>
      <w:r>
        <w:t>IP: MaternaLink IP deed or licence; contributor assignments; trademark filings; domain ownership.</w:t>
      </w:r>
    </w:p>
    <w:p>
      <w:pPr>
        <w:pStyle w:val="ListNumber"/>
      </w:pPr>
      <w:r>
        <w:t xml:space="preserve">Product: </w:t>
      </w:r>
      <w:r>
        <w:rPr>
          <w:rFonts w:ascii="Consolas" w:hAnsi="Consolas"/>
          <w:sz w:val="18"/>
        </w:rPr>
        <w:t>04_MATERNALINK_PRODUCT_STRATEGY.md</w:t>
      </w:r>
      <w:r>
        <w:t>, PRD, MVP spec, roadmap, feature addendum, intended-use statement, prototype audit report, hazard log, DPIA draft.</w:t>
      </w:r>
    </w:p>
    <w:p>
      <w:pPr>
        <w:pStyle w:val="ListNumber"/>
      </w:pPr>
      <w:r>
        <w:t>Market and strategy: audit, business model, market strategy, customer segments, competitive intelligence, partnership strategy.</w:t>
      </w:r>
    </w:p>
    <w:p>
      <w:pPr>
        <w:pStyle w:val="ListNumber"/>
      </w:pPr>
      <w:r>
        <w:t>Commercial: service catalogue, pricing (</w:t>
      </w:r>
      <w:r>
        <w:rPr>
          <w:rFonts w:ascii="Consolas" w:hAnsi="Consolas"/>
          <w:sz w:val="18"/>
        </w:rPr>
        <w:t>21_MATERNALINK_PRICING.md</w:t>
      </w:r>
      <w:r>
        <w:t>), pipeline export, signed SOWs, pilot LOIs.</w:t>
      </w:r>
    </w:p>
    <w:p>
      <w:pPr>
        <w:pStyle w:val="ListNumber"/>
      </w:pPr>
      <w:r>
        <w:t xml:space="preserve">Finance: </w:t>
      </w:r>
      <w:r>
        <w:rPr>
          <w:rFonts w:ascii="Consolas" w:hAnsi="Consolas"/>
          <w:sz w:val="18"/>
        </w:rPr>
        <w:t>Vytalix_Financial_Model_3yr.xlsx</w:t>
      </w:r>
      <w:r>
        <w:t xml:space="preserve">, </w:t>
      </w:r>
      <w:r>
        <w:rPr>
          <w:rFonts w:ascii="Consolas" w:hAnsi="Consolas"/>
          <w:sz w:val="18"/>
        </w:rPr>
        <w:t>08_FINANCIAL_MODEL.md</w:t>
      </w:r>
      <w:r>
        <w:t>, bank statements once trading, budget vs actual.</w:t>
      </w:r>
    </w:p>
    <w:p>
      <w:pPr>
        <w:pStyle w:val="ListNumber"/>
      </w:pPr>
      <w:r>
        <w:t xml:space="preserve">Funding: </w:t>
      </w:r>
      <w:r>
        <w:rPr>
          <w:rFonts w:ascii="Consolas" w:hAnsi="Consolas"/>
          <w:sz w:val="18"/>
        </w:rPr>
        <w:t>09_FUNDING_STRATEGY.md</w:t>
      </w:r>
      <w:r>
        <w:t xml:space="preserve">, </w:t>
      </w:r>
      <w:r>
        <w:rPr>
          <w:rFonts w:ascii="Consolas" w:hAnsi="Consolas"/>
          <w:sz w:val="18"/>
        </w:rPr>
        <w:t>10_INVESTOR_PROPOSITION.md</w:t>
      </w:r>
      <w:r>
        <w:t>, one-pager, deck, use-of-funds, milestone plan.</w:t>
      </w:r>
    </w:p>
    <w:p>
      <w:pPr>
        <w:pStyle w:val="ListNumber"/>
      </w:pPr>
      <w:r>
        <w:t>Governance and compliance: advisory agreements, policies (information security, data protection, clinical safety), ICO registration, insurance, risk register.</w:t>
      </w:r>
    </w:p>
    <w:p>
      <w:pPr>
        <w:pStyle w:val="ListNumber"/>
      </w:pPr>
      <w:r>
        <w:t>Team: founder CV and commitment statement, advisers, hiring plan.</w:t>
      </w:r>
    </w:p>
    <w:p>
      <w:pPr>
        <w:pStyle w:val="ListNumber"/>
      </w:pPr>
      <w:r>
        <w:t>Evidence: interview summaries, letters of intent, research report, pilot evaluation design.</w:t>
      </w:r>
    </w:p>
    <w:p>
      <w:pPr>
        <w:pStyle w:val="Heading2"/>
      </w:pPr>
      <w:r>
        <w:t>3. The winning concept: The Maternal Continuity Layer</w:t>
      </w:r>
    </w:p>
    <w:p>
      <w:pPr>
        <w:pStyle w:val="Heading3"/>
      </w:pPr>
      <w:r>
        <w:t>Why the current framing loses</w:t>
      </w:r>
    </w:p>
    <w:p>
      <w:r>
        <w:t>"Offline-first maternal monitoring for public health systems" describes a category with funded incumbents (mDoc in Nigeria, MomConnect in South Africa, BadgerNet in the NHS). Buyers hear "another platform", investors hear "crowded", and the risk engine drags the product toward medical-device regulation before there is evidence.</w:t>
      </w:r>
    </w:p>
    <w:p>
      <w:pPr>
        <w:pStyle w:val="Heading3"/>
      </w:pPr>
      <w:r>
        <w:t>The reframe (PROPOSED)</w:t>
      </w:r>
    </w:p>
    <w:p>
      <w:r>
        <w:rPr>
          <w:b/>
        </w:rPr>
        <w:t>MaternaLink is the continuity layer that follows the woman, not the facility.</w:t>
      </w:r>
      <w:r>
        <w:t xml:space="preserve"> One consented, woman-held maternity record and communication channel that works offline, plugs into whatever the government or hospital already runs, and keeps the woman connected to a responsible human from booking to postnatal discharge. Governments keep their systems; MaternaLink makes them continuous. Five elements make it distinctive together: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Element</w:t>
            </w:r>
          </w:p>
        </w:tc>
        <w:tc>
          <w:tcPr>
            <w:tcW w:type="dxa" w:w="2412"/>
          </w:tcPr>
          <w:p>
            <w:r>
              <w:rPr>
                <w:b/>
                <w:sz w:val="17"/>
              </w:rPr>
            </w:r>
            <w:r>
              <w:rPr>
                <w:b/>
                <w:sz w:val="17"/>
              </w:rPr>
              <w:t>What it is</w:t>
            </w:r>
          </w:p>
        </w:tc>
        <w:tc>
          <w:tcPr>
            <w:tcW w:type="dxa" w:w="2412"/>
          </w:tcPr>
          <w:p>
            <w:r>
              <w:rPr>
                <w:b/>
                <w:sz w:val="17"/>
              </w:rPr>
            </w:r>
            <w:r>
              <w:rPr>
                <w:b/>
                <w:sz w:val="17"/>
              </w:rPr>
              <w:t>Why it wins contracts</w:t>
            </w:r>
          </w:p>
        </w:tc>
        <w:tc>
          <w:tcPr>
            <w:tcW w:type="dxa" w:w="2412"/>
          </w:tcPr>
          <w:p>
            <w:r>
              <w:rPr>
                <w:b/>
                <w:sz w:val="17"/>
              </w:rPr>
            </w:r>
            <w:r>
              <w:rPr>
                <w:b/>
                <w:sz w:val="17"/>
              </w:rPr>
              <w:t>Why investors care</w:t>
            </w:r>
          </w:p>
        </w:tc>
      </w:tr>
      <w:tr>
        <w:tc>
          <w:tcPr>
            <w:tcW w:type="dxa" w:w="2412"/>
          </w:tcPr>
          <w:p>
            <w:r>
              <w:rPr>
                <w:b w:val="0"/>
                <w:sz w:val="17"/>
              </w:rPr>
            </w:r>
            <w:r>
              <w:rPr>
                <w:b/>
                <w:sz w:val="17"/>
              </w:rPr>
              <w:t>1. Woman-held continuity record</w:t>
            </w:r>
          </w:p>
        </w:tc>
        <w:tc>
          <w:tcPr>
            <w:tcW w:type="dxa" w:w="2412"/>
          </w:tcPr>
          <w:p>
            <w:r>
              <w:rPr>
                <w:b w:val="0"/>
                <w:sz w:val="17"/>
              </w:rPr>
            </w:r>
            <w:r>
              <w:rPr>
                <w:b w:val="0"/>
                <w:sz w:val="17"/>
              </w:rPr>
              <w:t>A portable, consented record (FHIR-aligned) the woman carries between community, clinic, hospital and even countries (UK diaspora ↔ Nigeria)</w:t>
            </w:r>
          </w:p>
        </w:tc>
        <w:tc>
          <w:tcPr>
            <w:tcW w:type="dxa" w:w="2412"/>
          </w:tcPr>
          <w:p>
            <w:r>
              <w:rPr>
                <w:b w:val="0"/>
                <w:sz w:val="17"/>
              </w:rPr>
            </w:r>
            <w:r>
              <w:rPr>
                <w:b w:val="0"/>
                <w:sz w:val="17"/>
              </w:rPr>
              <w:t>Solves the fragmentation every ministry and trust names first; complements incumbents instead of replacing them</w:t>
            </w:r>
          </w:p>
        </w:tc>
        <w:tc>
          <w:tcPr>
            <w:tcW w:type="dxa" w:w="2412"/>
          </w:tcPr>
          <w:p>
            <w:r>
              <w:rPr>
                <w:b w:val="0"/>
                <w:sz w:val="17"/>
              </w:rPr>
            </w:r>
            <w:r>
              <w:rPr>
                <w:b w:val="0"/>
                <w:sz w:val="17"/>
              </w:rPr>
              <w:t>Interoperability is a moat once integrated; switching cost rises with every interface</w:t>
            </w:r>
          </w:p>
        </w:tc>
      </w:tr>
      <w:tr>
        <w:tc>
          <w:tcPr>
            <w:tcW w:type="dxa" w:w="2412"/>
          </w:tcPr>
          <w:p>
            <w:r>
              <w:rPr>
                <w:b w:val="0"/>
                <w:sz w:val="17"/>
              </w:rPr>
            </w:r>
            <w:r>
              <w:rPr>
                <w:b/>
                <w:sz w:val="17"/>
              </w:rPr>
              <w:t>2. Complementarity by design</w:t>
            </w:r>
          </w:p>
        </w:tc>
        <w:tc>
          <w:tcPr>
            <w:tcW w:type="dxa" w:w="2412"/>
          </w:tcPr>
          <w:p>
            <w:r>
              <w:rPr>
                <w:b w:val="0"/>
                <w:sz w:val="17"/>
              </w:rPr>
            </w:r>
            <w:r>
              <w:rPr>
                <w:b w:val="0"/>
                <w:sz w:val="17"/>
              </w:rPr>
              <w:t>Integration pack for DHIS2, HMIS, BadgerNet/K2/Euroking; "we make your existing programme continuous"</w:t>
            </w:r>
          </w:p>
        </w:tc>
        <w:tc>
          <w:tcPr>
            <w:tcW w:type="dxa" w:w="2412"/>
          </w:tcPr>
          <w:p>
            <w:r>
              <w:rPr>
                <w:b w:val="0"/>
                <w:sz w:val="17"/>
              </w:rPr>
            </w:r>
            <w:r>
              <w:rPr>
                <w:b w:val="0"/>
                <w:sz w:val="17"/>
              </w:rPr>
              <w:t>Removes the political cost of replacing a funded programme; makes incumbents partners</w:t>
            </w:r>
          </w:p>
        </w:tc>
        <w:tc>
          <w:tcPr>
            <w:tcW w:type="dxa" w:w="2412"/>
          </w:tcPr>
          <w:p>
            <w:r>
              <w:rPr>
                <w:b w:val="0"/>
                <w:sz w:val="17"/>
              </w:rPr>
            </w:r>
            <w:r>
              <w:rPr>
                <w:b w:val="0"/>
                <w:sz w:val="17"/>
              </w:rPr>
              <w:t>De-risks the go-to-market; partnership revenue instead of price wars</w:t>
            </w:r>
          </w:p>
        </w:tc>
      </w:tr>
      <w:tr>
        <w:tc>
          <w:tcPr>
            <w:tcW w:type="dxa" w:w="2412"/>
          </w:tcPr>
          <w:p>
            <w:r>
              <w:rPr>
                <w:b w:val="0"/>
                <w:sz w:val="17"/>
              </w:rPr>
            </w:r>
            <w:r>
              <w:rPr>
                <w:b/>
                <w:sz w:val="17"/>
              </w:rPr>
              <w:t>3. Results-linked pricing</w:t>
            </w:r>
          </w:p>
        </w:tc>
        <w:tc>
          <w:tcPr>
            <w:tcW w:type="dxa" w:w="2412"/>
          </w:tcPr>
          <w:p>
            <w:r>
              <w:rPr>
                <w:b w:val="0"/>
                <w:sz w:val="17"/>
              </w:rPr>
            </w:r>
            <w:r>
              <w:rPr>
                <w:b w:val="0"/>
                <w:sz w:val="17"/>
              </w:rPr>
              <w:t>Part of the fee tied to measured, auditable indicators (postnatal follow-up completion, time-to-contact after a flag, missed-appointment recovery)</w:t>
            </w:r>
          </w:p>
        </w:tc>
        <w:tc>
          <w:tcPr>
            <w:tcW w:type="dxa" w:w="2412"/>
          </w:tcPr>
          <w:p>
            <w:r>
              <w:rPr>
                <w:b w:val="0"/>
                <w:sz w:val="17"/>
              </w:rPr>
            </w:r>
            <w:r>
              <w:rPr>
                <w:b w:val="0"/>
                <w:sz w:val="17"/>
              </w:rPr>
              <w:t>Governments and donors increasingly buy outcomes; fits results-based financing and impact bonds</w:t>
            </w:r>
          </w:p>
        </w:tc>
        <w:tc>
          <w:tcPr>
            <w:tcW w:type="dxa" w:w="2412"/>
          </w:tcPr>
          <w:p>
            <w:r>
              <w:rPr>
                <w:b w:val="0"/>
                <w:sz w:val="17"/>
              </w:rPr>
            </w:r>
            <w:r>
              <w:rPr>
                <w:b w:val="0"/>
                <w:sz w:val="17"/>
              </w:rPr>
              <w:t>Differentiated commercial model; evidence is generated by the contract itself</w:t>
            </w:r>
          </w:p>
        </w:tc>
      </w:tr>
      <w:tr>
        <w:tc>
          <w:tcPr>
            <w:tcW w:type="dxa" w:w="2412"/>
          </w:tcPr>
          <w:p>
            <w:r>
              <w:rPr>
                <w:b w:val="0"/>
                <w:sz w:val="17"/>
              </w:rPr>
            </w:r>
            <w:r>
              <w:rPr>
                <w:b/>
                <w:sz w:val="17"/>
              </w:rPr>
              <w:t>4. Three-source funding per woman</w:t>
            </w:r>
          </w:p>
        </w:tc>
        <w:tc>
          <w:tcPr>
            <w:tcW w:type="dxa" w:w="2412"/>
          </w:tcPr>
          <w:p>
            <w:r>
              <w:rPr>
                <w:b w:val="0"/>
                <w:sz w:val="17"/>
              </w:rPr>
            </w:r>
            <w:r>
              <w:rPr>
                <w:b w:val="0"/>
                <w:sz w:val="17"/>
              </w:rPr>
              <w:t xml:space="preserve">Public budget + donor/programme funding + </w:t>
            </w:r>
            <w:r>
              <w:rPr>
                <w:b/>
                <w:sz w:val="17"/>
              </w:rPr>
              <w:t>diaspora and employer sponsorship</w:t>
            </w:r>
            <w:r>
              <w:rPr>
                <w:b w:val="0"/>
                <w:sz w:val="17"/>
              </w:rPr>
              <w:t xml:space="preserve"> ("Sponsor a Safe Pregnancy": a UK-based relative or company pays the per-woman fee for a named community or cohort)</w:t>
            </w:r>
          </w:p>
        </w:tc>
        <w:tc>
          <w:tcPr>
            <w:tcW w:type="dxa" w:w="2412"/>
          </w:tcPr>
          <w:p>
            <w:r>
              <w:rPr>
                <w:b w:val="0"/>
                <w:sz w:val="17"/>
              </w:rPr>
            </w:r>
            <w:r>
              <w:rPr>
                <w:b w:val="0"/>
                <w:sz w:val="17"/>
              </w:rPr>
              <w:t>Reduces the burden on state budgets; creates a constituency of sponsors who lobby for the programme</w:t>
            </w:r>
          </w:p>
        </w:tc>
        <w:tc>
          <w:tcPr>
            <w:tcW w:type="dxa" w:w="2412"/>
          </w:tcPr>
          <w:p>
            <w:r>
              <w:rPr>
                <w:b w:val="0"/>
                <w:sz w:val="17"/>
              </w:rPr>
            </w:r>
            <w:r>
              <w:rPr>
                <w:b w:val="0"/>
                <w:sz w:val="17"/>
              </w:rPr>
              <w:t>A B2C2B revenue line no incumbent has; high-margin, recurring, and emotionally compelling</w:t>
            </w:r>
          </w:p>
        </w:tc>
      </w:tr>
      <w:tr>
        <w:tc>
          <w:tcPr>
            <w:tcW w:type="dxa" w:w="2412"/>
          </w:tcPr>
          <w:p>
            <w:r>
              <w:rPr>
                <w:b w:val="0"/>
                <w:sz w:val="17"/>
              </w:rPr>
            </w:r>
            <w:r>
              <w:rPr>
                <w:b/>
                <w:sz w:val="17"/>
              </w:rPr>
              <w:t>5. Workforce built in</w:t>
            </w:r>
          </w:p>
        </w:tc>
        <w:tc>
          <w:tcPr>
            <w:tcW w:type="dxa" w:w="2412"/>
          </w:tcPr>
          <w:p>
            <w:r>
              <w:rPr>
                <w:b w:val="0"/>
                <w:sz w:val="17"/>
              </w:rPr>
            </w:r>
            <w:r>
              <w:rPr>
                <w:b w:val="0"/>
                <w:sz w:val="17"/>
              </w:rPr>
              <w:t>E-Learning for midwives and community health workers bundled with the platform (capacity-building is an explicit government objective)</w:t>
            </w:r>
          </w:p>
        </w:tc>
        <w:tc>
          <w:tcPr>
            <w:tcW w:type="dxa" w:w="2412"/>
          </w:tcPr>
          <w:p>
            <w:r>
              <w:rPr>
                <w:b w:val="0"/>
                <w:sz w:val="17"/>
              </w:rPr>
            </w:r>
            <w:r>
              <w:rPr>
                <w:b w:val="0"/>
                <w:sz w:val="17"/>
              </w:rPr>
              <w:t>Governments buy "workforce + software" programmes more readily than software alone</w:t>
            </w:r>
          </w:p>
        </w:tc>
        <w:tc>
          <w:tcPr>
            <w:tcW w:type="dxa" w:w="2412"/>
          </w:tcPr>
          <w:p>
            <w:r>
              <w:rPr>
                <w:b w:val="0"/>
                <w:sz w:val="17"/>
              </w:rPr>
            </w:r>
            <w:r>
              <w:rPr>
                <w:b w:val="0"/>
                <w:sz w:val="17"/>
              </w:rPr>
              <w:t>Second pillar sells through the first; higher contract values</w:t>
            </w:r>
          </w:p>
        </w:tc>
      </w:tr>
    </w:tbl>
    <w:p/>
    <w:p>
      <w:r>
        <w:rPr>
          <w:b/>
        </w:rPr>
        <w:t>One-line concept:</w:t>
      </w:r>
      <w:r>
        <w:t xml:space="preserve"> </w:t>
      </w:r>
      <w:r>
        <w:rPr>
          <w:i/>
        </w:rPr>
        <w:t>"The continuity layer for maternity care: one record that follows the woman, works without signal, complements the systems you already run, and is paid for partly on results."</w:t>
      </w:r>
    </w:p>
    <w:p>
      <w:pPr>
        <w:pStyle w:val="Heading3"/>
      </w:pPr>
      <w:r>
        <w:t>What this concept is not</w:t>
      </w:r>
    </w:p>
    <w:p>
      <w:r>
        <w:t xml:space="preserve">It is not a diagnostic tool and does not need to be. The AI risk-score idea from 2025 becomes a research consortium with a university (element 6 in </w:t>
      </w:r>
      <w:r>
        <w:rPr>
          <w:rFonts w:ascii="Consolas" w:hAnsi="Consolas"/>
          <w:sz w:val="18"/>
        </w:rPr>
        <w:t>04_MATERNALINK_PRODUCT_STRATEGY.md</w:t>
      </w:r>
      <w:r>
        <w:t>), which is a stronger investor story than an unvalidated model.</w:t>
      </w:r>
    </w:p>
    <w:p>
      <w:pPr>
        <w:pStyle w:val="Heading3"/>
      </w:pPr>
      <w:r>
        <w:t>Additional ideas worth testing (scored with 20_DECISION_FRAMEWORK.md)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Idea</w:t>
            </w:r>
          </w:p>
        </w:tc>
        <w:tc>
          <w:tcPr>
            <w:tcW w:type="dxa" w:w="2412"/>
          </w:tcPr>
          <w:p>
            <w:r>
              <w:rPr>
                <w:b/>
                <w:sz w:val="17"/>
              </w:rPr>
            </w:r>
            <w:r>
              <w:rPr>
                <w:b/>
                <w:sz w:val="17"/>
              </w:rPr>
              <w:t>Score</w:t>
            </w:r>
          </w:p>
        </w:tc>
        <w:tc>
          <w:tcPr>
            <w:tcW w:type="dxa" w:w="2412"/>
          </w:tcPr>
          <w:p>
            <w:r>
              <w:rPr>
                <w:b/>
                <w:sz w:val="17"/>
              </w:rPr>
            </w:r>
            <w:r>
              <w:rPr>
                <w:b/>
                <w:sz w:val="17"/>
              </w:rPr>
              <w:t>Verdict</w:t>
            </w:r>
          </w:p>
        </w:tc>
        <w:tc>
          <w:tcPr>
            <w:tcW w:type="dxa" w:w="2412"/>
          </w:tcPr>
          <w:p>
            <w:r>
              <w:rPr>
                <w:b/>
                <w:sz w:val="17"/>
              </w:rPr>
            </w:r>
            <w:r>
              <w:rPr>
                <w:b/>
                <w:sz w:val="17"/>
              </w:rPr>
              <w:t>Note</w:t>
            </w:r>
          </w:p>
        </w:tc>
      </w:tr>
      <w:tr>
        <w:tc>
          <w:tcPr>
            <w:tcW w:type="dxa" w:w="2412"/>
          </w:tcPr>
          <w:p>
            <w:r>
              <w:rPr>
                <w:b w:val="0"/>
                <w:sz w:val="17"/>
              </w:rPr>
            </w:r>
            <w:r>
              <w:rPr>
                <w:b w:val="0"/>
                <w:sz w:val="17"/>
              </w:rPr>
              <w:t>Sponsor a Safe Pregnancy (diaspora and employer per-woman sponsorship)</w:t>
            </w:r>
          </w:p>
        </w:tc>
        <w:tc>
          <w:tcPr>
            <w:tcW w:type="dxa" w:w="2412"/>
          </w:tcPr>
          <w:p>
            <w:r>
              <w:rPr>
                <w:b w:val="0"/>
                <w:sz w:val="17"/>
              </w:rPr>
            </w:r>
            <w:r>
              <w:rPr>
                <w:b w:val="0"/>
                <w:sz w:val="17"/>
              </w:rPr>
              <w:t>70</w:t>
            </w:r>
          </w:p>
        </w:tc>
        <w:tc>
          <w:tcPr>
            <w:tcW w:type="dxa" w:w="2412"/>
          </w:tcPr>
          <w:p>
            <w:r>
              <w:rPr>
                <w:b w:val="0"/>
                <w:sz w:val="17"/>
              </w:rPr>
            </w:r>
            <w:r>
              <w:rPr>
                <w:b/>
                <w:sz w:val="17"/>
              </w:rPr>
              <w:t>TEST</w:t>
            </w:r>
            <w:r>
              <w:rPr>
                <w:b w:val="0"/>
                <w:sz w:val="17"/>
              </w:rPr>
              <w:t xml:space="preserve"> in 90 days: landing page, 100 sign-ups of intent, one employer</w:t>
            </w:r>
          </w:p>
        </w:tc>
        <w:tc>
          <w:tcPr>
            <w:tcW w:type="dxa" w:w="2412"/>
          </w:tcPr>
          <w:p>
            <w:r>
              <w:rPr>
                <w:b w:val="0"/>
                <w:sz w:val="17"/>
              </w:rPr>
            </w:r>
            <w:r>
              <w:rPr>
                <w:b w:val="0"/>
                <w:sz w:val="17"/>
              </w:rPr>
              <w:t>Requires charity-partner structure or a clear consumer contract; payment via Stripe/Paystack</w:t>
            </w:r>
          </w:p>
        </w:tc>
      </w:tr>
      <w:tr>
        <w:tc>
          <w:tcPr>
            <w:tcW w:type="dxa" w:w="2412"/>
          </w:tcPr>
          <w:p>
            <w:r>
              <w:rPr>
                <w:b w:val="0"/>
                <w:sz w:val="17"/>
              </w:rPr>
            </w:r>
            <w:r>
              <w:rPr>
                <w:b w:val="0"/>
                <w:sz w:val="17"/>
              </w:rPr>
              <w:t>Results-linked contracting with a donor-backed programme</w:t>
            </w:r>
          </w:p>
        </w:tc>
        <w:tc>
          <w:tcPr>
            <w:tcW w:type="dxa" w:w="2412"/>
          </w:tcPr>
          <w:p>
            <w:r>
              <w:rPr>
                <w:b w:val="0"/>
                <w:sz w:val="17"/>
              </w:rPr>
            </w:r>
            <w:r>
              <w:rPr>
                <w:b w:val="0"/>
                <w:sz w:val="17"/>
              </w:rPr>
              <w:t>64</w:t>
            </w:r>
          </w:p>
        </w:tc>
        <w:tc>
          <w:tcPr>
            <w:tcW w:type="dxa" w:w="2412"/>
          </w:tcPr>
          <w:p>
            <w:r>
              <w:rPr>
                <w:b w:val="0"/>
                <w:sz w:val="17"/>
              </w:rPr>
            </w:r>
            <w:r>
              <w:rPr>
                <w:b/>
                <w:sz w:val="17"/>
              </w:rPr>
              <w:t>TEST</w:t>
            </w:r>
            <w:r>
              <w:rPr>
                <w:b w:val="0"/>
                <w:sz w:val="17"/>
              </w:rPr>
              <w:t xml:space="preserve"> with one NGO cohort: define 3 indicators and a bonus/malus</w:t>
            </w:r>
          </w:p>
        </w:tc>
        <w:tc>
          <w:tcPr>
            <w:tcW w:type="dxa" w:w="2412"/>
          </w:tcPr>
          <w:p>
            <w:r>
              <w:rPr>
                <w:b w:val="0"/>
                <w:sz w:val="17"/>
              </w:rPr>
            </w:r>
            <w:r>
              <w:rPr>
                <w:b w:val="0"/>
                <w:sz w:val="17"/>
              </w:rPr>
              <w:t>DFIs (BII, Proparco) and Grand Challenges Canada like this structure</w:t>
            </w:r>
          </w:p>
        </w:tc>
      </w:tr>
      <w:tr>
        <w:tc>
          <w:tcPr>
            <w:tcW w:type="dxa" w:w="2412"/>
          </w:tcPr>
          <w:p>
            <w:r>
              <w:rPr>
                <w:b w:val="0"/>
                <w:sz w:val="17"/>
              </w:rPr>
            </w:r>
            <w:r>
              <w:rPr>
                <w:b w:val="0"/>
                <w:sz w:val="17"/>
              </w:rPr>
              <w:t>Maternity equity dashboard for commissioners (ICBs, state ministries): anonymised, population-level continuity indicators by ethnicity and geography</w:t>
            </w:r>
          </w:p>
        </w:tc>
        <w:tc>
          <w:tcPr>
            <w:tcW w:type="dxa" w:w="2412"/>
          </w:tcPr>
          <w:p>
            <w:r>
              <w:rPr>
                <w:b w:val="0"/>
                <w:sz w:val="17"/>
              </w:rPr>
            </w:r>
            <w:r>
              <w:rPr>
                <w:b w:val="0"/>
                <w:sz w:val="17"/>
              </w:rPr>
              <w:t>66</w:t>
            </w:r>
          </w:p>
        </w:tc>
        <w:tc>
          <w:tcPr>
            <w:tcW w:type="dxa" w:w="2412"/>
          </w:tcPr>
          <w:p>
            <w:r>
              <w:rPr>
                <w:b w:val="0"/>
                <w:sz w:val="17"/>
              </w:rPr>
            </w:r>
            <w:r>
              <w:rPr>
                <w:b/>
                <w:sz w:val="17"/>
              </w:rPr>
              <w:t>TEST</w:t>
            </w:r>
            <w:r>
              <w:rPr>
                <w:b w:val="0"/>
                <w:sz w:val="17"/>
              </w:rPr>
              <w:t xml:space="preserve"> as a report first, product second</w:t>
            </w:r>
          </w:p>
        </w:tc>
        <w:tc>
          <w:tcPr>
            <w:tcW w:type="dxa" w:w="2412"/>
          </w:tcPr>
          <w:p>
            <w:r>
              <w:rPr>
                <w:b w:val="0"/>
                <w:sz w:val="17"/>
              </w:rPr>
            </w:r>
            <w:r>
              <w:rPr>
                <w:b w:val="0"/>
                <w:sz w:val="17"/>
              </w:rPr>
              <w:t>Directly addresses MBRRACE-UK inequality findings; sold to commissioners, not trusts</w:t>
            </w:r>
          </w:p>
        </w:tc>
      </w:tr>
      <w:tr>
        <w:tc>
          <w:tcPr>
            <w:tcW w:type="dxa" w:w="2412"/>
          </w:tcPr>
          <w:p>
            <w:r>
              <w:rPr>
                <w:b w:val="0"/>
                <w:sz w:val="17"/>
              </w:rPr>
            </w:r>
            <w:r>
              <w:rPr>
                <w:b w:val="0"/>
                <w:sz w:val="17"/>
              </w:rPr>
              <w:t>Continuity record for cross-border families (UK ↔ Nigeria)</w:t>
            </w:r>
          </w:p>
        </w:tc>
        <w:tc>
          <w:tcPr>
            <w:tcW w:type="dxa" w:w="2412"/>
          </w:tcPr>
          <w:p>
            <w:r>
              <w:rPr>
                <w:b w:val="0"/>
                <w:sz w:val="17"/>
              </w:rPr>
            </w:r>
            <w:r>
              <w:rPr>
                <w:b w:val="0"/>
                <w:sz w:val="17"/>
              </w:rPr>
              <w:t>58</w:t>
            </w:r>
          </w:p>
        </w:tc>
        <w:tc>
          <w:tcPr>
            <w:tcW w:type="dxa" w:w="2412"/>
          </w:tcPr>
          <w:p>
            <w:r>
              <w:rPr>
                <w:b w:val="0"/>
                <w:sz w:val="17"/>
              </w:rPr>
            </w:r>
            <w:r>
              <w:rPr>
                <w:b/>
                <w:sz w:val="17"/>
              </w:rPr>
              <w:t>DEFER</w:t>
            </w:r>
            <w:r>
              <w:rPr>
                <w:b w:val="0"/>
                <w:sz w:val="17"/>
              </w:rPr>
              <w:t xml:space="preserve"> to v2</w:t>
            </w:r>
          </w:p>
        </w:tc>
        <w:tc>
          <w:tcPr>
            <w:tcW w:type="dxa" w:w="2412"/>
          </w:tcPr>
          <w:p>
            <w:r>
              <w:rPr>
                <w:b w:val="0"/>
                <w:sz w:val="17"/>
              </w:rPr>
            </w:r>
            <w:r>
              <w:rPr>
                <w:b w:val="0"/>
                <w:sz w:val="17"/>
              </w:rPr>
              <w:t>Distinctive but regulatory complexity across two data regimes</w:t>
            </w:r>
          </w:p>
        </w:tc>
      </w:tr>
      <w:tr>
        <w:tc>
          <w:tcPr>
            <w:tcW w:type="dxa" w:w="2412"/>
          </w:tcPr>
          <w:p>
            <w:r>
              <w:rPr>
                <w:b w:val="0"/>
                <w:sz w:val="17"/>
              </w:rPr>
            </w:r>
            <w:r>
              <w:rPr>
                <w:b w:val="0"/>
                <w:sz w:val="17"/>
              </w:rPr>
              <w:t>Research consortium for the AI track (university + NHS trust + Nigerian teaching hospital)</w:t>
            </w:r>
          </w:p>
        </w:tc>
        <w:tc>
          <w:tcPr>
            <w:tcW w:type="dxa" w:w="2412"/>
          </w:tcPr>
          <w:p>
            <w:r>
              <w:rPr>
                <w:b w:val="0"/>
                <w:sz w:val="17"/>
              </w:rPr>
            </w:r>
            <w:r>
              <w:rPr>
                <w:b w:val="0"/>
                <w:sz w:val="17"/>
              </w:rPr>
              <w:t>62</w:t>
            </w:r>
          </w:p>
        </w:tc>
        <w:tc>
          <w:tcPr>
            <w:tcW w:type="dxa" w:w="2412"/>
          </w:tcPr>
          <w:p>
            <w:r>
              <w:rPr>
                <w:b w:val="0"/>
                <w:sz w:val="17"/>
              </w:rPr>
            </w:r>
            <w:r>
              <w:rPr>
                <w:b/>
                <w:sz w:val="17"/>
              </w:rPr>
              <w:t>TEST</w:t>
            </w:r>
            <w:r>
              <w:rPr>
                <w:b w:val="0"/>
                <w:sz w:val="17"/>
              </w:rPr>
              <w:t>: one university partner conversation</w:t>
            </w:r>
          </w:p>
        </w:tc>
        <w:tc>
          <w:tcPr>
            <w:tcW w:type="dxa" w:w="2412"/>
          </w:tcPr>
          <w:p>
            <w:r>
              <w:rPr>
                <w:b w:val="0"/>
                <w:sz w:val="17"/>
              </w:rPr>
            </w:r>
            <w:r>
              <w:rPr>
                <w:b w:val="0"/>
                <w:sz w:val="17"/>
              </w:rPr>
              <w:t>Converts the 2025 concept into fundable research (NIHR/Wellcome routes)</w:t>
            </w:r>
          </w:p>
        </w:tc>
      </w:tr>
    </w:tbl>
    <w:p/>
    <w:p>
      <w:pPr>
        <w:pStyle w:val="Heading2"/>
      </w:pPr>
      <w:r>
        <w:t>4. Government-contract playbook</w:t>
      </w:r>
    </w:p>
    <w:p>
      <w:pPr>
        <w:pStyle w:val="Heading3"/>
      </w:pPr>
      <w:r>
        <w:t>United Kingdom (NHS)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Step</w:t>
            </w:r>
          </w:p>
        </w:tc>
        <w:tc>
          <w:tcPr>
            <w:tcW w:type="dxa" w:w="2412"/>
          </w:tcPr>
          <w:p>
            <w:r>
              <w:rPr>
                <w:b/>
                <w:sz w:val="17"/>
              </w:rPr>
            </w:r>
            <w:r>
              <w:rPr>
                <w:b/>
                <w:sz w:val="17"/>
              </w:rPr>
              <w:t>Route</w:t>
            </w:r>
          </w:p>
        </w:tc>
        <w:tc>
          <w:tcPr>
            <w:tcW w:type="dxa" w:w="2412"/>
          </w:tcPr>
          <w:p>
            <w:r>
              <w:rPr>
                <w:b/>
                <w:sz w:val="17"/>
              </w:rPr>
            </w:r>
            <w:r>
              <w:rPr>
                <w:b/>
                <w:sz w:val="17"/>
              </w:rPr>
              <w:t>What it takes</w:t>
            </w:r>
          </w:p>
        </w:tc>
        <w:tc>
          <w:tcPr>
            <w:tcW w:type="dxa" w:w="2412"/>
          </w:tcPr>
          <w:p>
            <w:r>
              <w:rPr>
                <w:b/>
                <w:sz w:val="17"/>
              </w:rPr>
            </w:r>
            <w:r>
              <w:rPr>
                <w:b/>
                <w:sz w:val="17"/>
              </w:rPr>
              <w:t>Time</w:t>
            </w:r>
          </w:p>
        </w:tc>
      </w:tr>
      <w:tr>
        <w:tc>
          <w:tcPr>
            <w:tcW w:type="dxa" w:w="2412"/>
          </w:tcPr>
          <w:p>
            <w:r>
              <w:rPr>
                <w:b w:val="0"/>
                <w:sz w:val="17"/>
              </w:rPr>
            </w:r>
            <w:r>
              <w:rPr>
                <w:b w:val="0"/>
                <w:sz w:val="17"/>
              </w:rPr>
              <w:t>1</w:t>
            </w:r>
          </w:p>
        </w:tc>
        <w:tc>
          <w:tcPr>
            <w:tcW w:type="dxa" w:w="2412"/>
          </w:tcPr>
          <w:p>
            <w:r>
              <w:rPr>
                <w:b w:val="0"/>
                <w:sz w:val="17"/>
              </w:rPr>
            </w:r>
            <w:r>
              <w:rPr>
                <w:b/>
                <w:sz w:val="17"/>
              </w:rPr>
              <w:t>Health Innovation Networks</w:t>
            </w:r>
            <w:r>
              <w:rPr>
                <w:b w:val="0"/>
                <w:sz w:val="17"/>
              </w:rPr>
              <w:t xml:space="preserve"> (formerly AHSNs): the front door for SMEs into NHS regions</w:t>
            </w:r>
          </w:p>
        </w:tc>
        <w:tc>
          <w:tcPr>
            <w:tcW w:type="dxa" w:w="2412"/>
          </w:tcPr>
          <w:p>
            <w:r>
              <w:rPr>
                <w:b w:val="0"/>
                <w:sz w:val="17"/>
              </w:rPr>
            </w:r>
            <w:r>
              <w:rPr>
                <w:b w:val="0"/>
                <w:sz w:val="17"/>
              </w:rPr>
              <w:t>Register; ask for a "innovation exchange" conversation; bring the intended-use statement and pilot design</w:t>
            </w:r>
          </w:p>
        </w:tc>
        <w:tc>
          <w:tcPr>
            <w:tcW w:type="dxa" w:w="2412"/>
          </w:tcPr>
          <w:p>
            <w:r>
              <w:rPr>
                <w:b w:val="0"/>
                <w:sz w:val="17"/>
              </w:rPr>
            </w:r>
            <w:r>
              <w:rPr>
                <w:b w:val="0"/>
                <w:sz w:val="17"/>
              </w:rPr>
              <w:t>Weeks 2–6</w:t>
            </w:r>
          </w:p>
        </w:tc>
      </w:tr>
      <w:tr>
        <w:tc>
          <w:tcPr>
            <w:tcW w:type="dxa" w:w="2412"/>
          </w:tcPr>
          <w:p>
            <w:r>
              <w:rPr>
                <w:b w:val="0"/>
                <w:sz w:val="17"/>
              </w:rPr>
            </w:r>
            <w:r>
              <w:rPr>
                <w:b w:val="0"/>
                <w:sz w:val="17"/>
              </w:rPr>
              <w:t>2</w:t>
            </w:r>
          </w:p>
        </w:tc>
        <w:tc>
          <w:tcPr>
            <w:tcW w:type="dxa" w:w="2412"/>
          </w:tcPr>
          <w:p>
            <w:r>
              <w:rPr>
                <w:b w:val="0"/>
                <w:sz w:val="17"/>
              </w:rPr>
            </w:r>
            <w:r>
              <w:rPr>
                <w:b/>
                <w:sz w:val="17"/>
              </w:rPr>
              <w:t>NHS Innovation Service</w:t>
            </w:r>
            <w:r>
              <w:rPr>
                <w:b w:val="0"/>
                <w:sz w:val="17"/>
              </w:rPr>
              <w:t>: national triage of innovations to the right support</w:t>
            </w:r>
          </w:p>
        </w:tc>
        <w:tc>
          <w:tcPr>
            <w:tcW w:type="dxa" w:w="2412"/>
          </w:tcPr>
          <w:p>
            <w:r>
              <w:rPr>
                <w:b w:val="0"/>
                <w:sz w:val="17"/>
              </w:rPr>
            </w:r>
            <w:r>
              <w:rPr>
                <w:b w:val="0"/>
                <w:sz w:val="17"/>
              </w:rPr>
              <w:t>Online application; be honest about stage</w:t>
            </w:r>
          </w:p>
        </w:tc>
        <w:tc>
          <w:tcPr>
            <w:tcW w:type="dxa" w:w="2412"/>
          </w:tcPr>
          <w:p>
            <w:r>
              <w:rPr>
                <w:b w:val="0"/>
                <w:sz w:val="17"/>
              </w:rPr>
            </w:r>
            <w:r>
              <w:rPr>
                <w:b w:val="0"/>
                <w:sz w:val="17"/>
              </w:rPr>
              <w:t>Week 4</w:t>
            </w:r>
          </w:p>
        </w:tc>
      </w:tr>
      <w:tr>
        <w:tc>
          <w:tcPr>
            <w:tcW w:type="dxa" w:w="2412"/>
          </w:tcPr>
          <w:p>
            <w:r>
              <w:rPr>
                <w:b w:val="0"/>
                <w:sz w:val="17"/>
              </w:rPr>
            </w:r>
            <w:r>
              <w:rPr>
                <w:b w:val="0"/>
                <w:sz w:val="17"/>
              </w:rPr>
              <w:t>3</w:t>
            </w:r>
          </w:p>
        </w:tc>
        <w:tc>
          <w:tcPr>
            <w:tcW w:type="dxa" w:w="2412"/>
          </w:tcPr>
          <w:p>
            <w:r>
              <w:rPr>
                <w:b w:val="0"/>
                <w:sz w:val="17"/>
              </w:rPr>
            </w:r>
            <w:r>
              <w:rPr>
                <w:b/>
                <w:sz w:val="17"/>
              </w:rPr>
              <w:t>DTAC (Digital Technology Assessment Criteria)</w:t>
            </w:r>
            <w:r>
              <w:rPr>
                <w:b w:val="0"/>
                <w:sz w:val="17"/>
              </w:rPr>
              <w:t xml:space="preserve"> readiness: clinical safety, data protection, technical security, interoperability, usability</w:t>
            </w:r>
          </w:p>
        </w:tc>
        <w:tc>
          <w:tcPr>
            <w:tcW w:type="dxa" w:w="2412"/>
          </w:tcPr>
          <w:p>
            <w:r>
              <w:rPr>
                <w:b w:val="0"/>
                <w:sz w:val="17"/>
              </w:rPr>
            </w:r>
            <w:r>
              <w:rPr>
                <w:b w:val="0"/>
                <w:sz w:val="17"/>
              </w:rPr>
              <w:t xml:space="preserve">Build the evidence pack from </w:t>
            </w:r>
            <w:r>
              <w:rPr>
                <w:rFonts w:ascii="Consolas" w:hAnsi="Consolas"/>
                <w:b w:val="0"/>
                <w:sz w:val="17"/>
              </w:rPr>
              <w:t>15_LEGAL_AND_REGULATORY.md</w:t>
            </w:r>
            <w:r>
              <w:rPr>
                <w:b w:val="0"/>
                <w:sz w:val="17"/>
              </w:rPr>
              <w:t xml:space="preserve"> and the security page; DSPT and Cyber Essentials</w:t>
            </w:r>
          </w:p>
        </w:tc>
        <w:tc>
          <w:tcPr>
            <w:tcW w:type="dxa" w:w="2412"/>
          </w:tcPr>
          <w:p>
            <w:r>
              <w:rPr>
                <w:b w:val="0"/>
                <w:sz w:val="17"/>
              </w:rPr>
            </w:r>
            <w:r>
              <w:rPr>
                <w:b w:val="0"/>
                <w:sz w:val="17"/>
              </w:rPr>
              <w:t>Months 2–5</w:t>
            </w:r>
          </w:p>
        </w:tc>
      </w:tr>
      <w:tr>
        <w:tc>
          <w:tcPr>
            <w:tcW w:type="dxa" w:w="2412"/>
          </w:tcPr>
          <w:p>
            <w:r>
              <w:rPr>
                <w:b w:val="0"/>
                <w:sz w:val="17"/>
              </w:rPr>
            </w:r>
            <w:r>
              <w:rPr>
                <w:b w:val="0"/>
                <w:sz w:val="17"/>
              </w:rPr>
              <w:t>4</w:t>
            </w:r>
          </w:p>
        </w:tc>
        <w:tc>
          <w:tcPr>
            <w:tcW w:type="dxa" w:w="2412"/>
          </w:tcPr>
          <w:p>
            <w:r>
              <w:rPr>
                <w:b w:val="0"/>
                <w:sz w:val="17"/>
              </w:rPr>
            </w:r>
            <w:r>
              <w:rPr>
                <w:b/>
                <w:sz w:val="17"/>
              </w:rPr>
              <w:t>SBRI Healthcare</w:t>
            </w:r>
            <w:r>
              <w:rPr>
                <w:b w:val="0"/>
                <w:sz w:val="17"/>
              </w:rPr>
              <w:t xml:space="preserve"> competitions (NHS-funded development contracts, 100% funded) and </w:t>
            </w:r>
            <w:r>
              <w:rPr>
                <w:b/>
                <w:sz w:val="17"/>
              </w:rPr>
              <w:t>Innovate UK Smart / Biomedical Catalyst</w:t>
            </w:r>
          </w:p>
        </w:tc>
        <w:tc>
          <w:tcPr>
            <w:tcW w:type="dxa" w:w="2412"/>
          </w:tcPr>
          <w:p>
            <w:r>
              <w:rPr>
                <w:b w:val="0"/>
                <w:sz w:val="17"/>
              </w:rPr>
            </w:r>
            <w:r>
              <w:rPr>
                <w:b w:val="0"/>
                <w:sz w:val="17"/>
              </w:rPr>
              <w:t>Apply when a maternity or inequalities theme opens; needs an NHS partner letter</w:t>
            </w:r>
          </w:p>
        </w:tc>
        <w:tc>
          <w:tcPr>
            <w:tcW w:type="dxa" w:w="2412"/>
          </w:tcPr>
          <w:p>
            <w:r>
              <w:rPr>
                <w:b w:val="0"/>
                <w:sz w:val="17"/>
              </w:rPr>
            </w:r>
            <w:r>
              <w:rPr>
                <w:b w:val="0"/>
                <w:sz w:val="17"/>
              </w:rPr>
              <w:t>Watch calendar</w:t>
            </w:r>
          </w:p>
        </w:tc>
      </w:tr>
      <w:tr>
        <w:tc>
          <w:tcPr>
            <w:tcW w:type="dxa" w:w="2412"/>
          </w:tcPr>
          <w:p>
            <w:r>
              <w:rPr>
                <w:b w:val="0"/>
                <w:sz w:val="17"/>
              </w:rPr>
            </w:r>
            <w:r>
              <w:rPr>
                <w:b w:val="0"/>
                <w:sz w:val="17"/>
              </w:rPr>
              <w:t>5</w:t>
            </w:r>
          </w:p>
        </w:tc>
        <w:tc>
          <w:tcPr>
            <w:tcW w:type="dxa" w:w="2412"/>
          </w:tcPr>
          <w:p>
            <w:r>
              <w:rPr>
                <w:b w:val="0"/>
                <w:sz w:val="17"/>
              </w:rPr>
            </w:r>
            <w:r>
              <w:rPr>
                <w:b/>
                <w:sz w:val="17"/>
              </w:rPr>
              <w:t>Service evaluation</w:t>
            </w:r>
            <w:r>
              <w:rPr>
                <w:b w:val="0"/>
                <w:sz w:val="17"/>
              </w:rPr>
              <w:t xml:space="preserve"> at one trust (not a research study): a maternity digital lead, a midwifery lead, a Caldicott Guardian sign-off</w:t>
            </w:r>
          </w:p>
        </w:tc>
        <w:tc>
          <w:tcPr>
            <w:tcW w:type="dxa" w:w="2412"/>
          </w:tcPr>
          <w:p>
            <w:r>
              <w:rPr>
                <w:b w:val="0"/>
                <w:sz w:val="17"/>
              </w:rPr>
            </w:r>
            <w:r>
              <w:rPr>
                <w:b w:val="0"/>
                <w:sz w:val="17"/>
              </w:rPr>
              <w:t>Pilot proposal + evaluation design; no fee or small fee</w:t>
            </w:r>
          </w:p>
        </w:tc>
        <w:tc>
          <w:tcPr>
            <w:tcW w:type="dxa" w:w="2412"/>
          </w:tcPr>
          <w:p>
            <w:r>
              <w:rPr>
                <w:b w:val="0"/>
                <w:sz w:val="17"/>
              </w:rPr>
            </w:r>
            <w:r>
              <w:rPr>
                <w:b w:val="0"/>
                <w:sz w:val="17"/>
              </w:rPr>
              <w:t>Months 3–6</w:t>
            </w:r>
          </w:p>
        </w:tc>
      </w:tr>
      <w:tr>
        <w:tc>
          <w:tcPr>
            <w:tcW w:type="dxa" w:w="2412"/>
          </w:tcPr>
          <w:p>
            <w:r>
              <w:rPr>
                <w:b w:val="0"/>
                <w:sz w:val="17"/>
              </w:rPr>
            </w:r>
            <w:r>
              <w:rPr>
                <w:b w:val="0"/>
                <w:sz w:val="17"/>
              </w:rPr>
              <w:t>6</w:t>
            </w:r>
          </w:p>
        </w:tc>
        <w:tc>
          <w:tcPr>
            <w:tcW w:type="dxa" w:w="2412"/>
          </w:tcPr>
          <w:p>
            <w:r>
              <w:rPr>
                <w:b w:val="0"/>
                <w:sz w:val="17"/>
              </w:rPr>
            </w:r>
            <w:r>
              <w:rPr>
                <w:b/>
                <w:sz w:val="17"/>
              </w:rPr>
              <w:t>Frameworks</w:t>
            </w:r>
            <w:r>
              <w:rPr>
                <w:b w:val="0"/>
                <w:sz w:val="17"/>
              </w:rPr>
              <w:t>: G-Cloud (Crown Commercial Service Digital Marketplace) so trusts can buy without a tender; later NHS Shared Business Services / LPP frameworks</w:t>
            </w:r>
          </w:p>
        </w:tc>
        <w:tc>
          <w:tcPr>
            <w:tcW w:type="dxa" w:w="2412"/>
          </w:tcPr>
          <w:p>
            <w:r>
              <w:rPr>
                <w:b w:val="0"/>
                <w:sz w:val="17"/>
              </w:rPr>
            </w:r>
            <w:r>
              <w:rPr>
                <w:b w:val="0"/>
                <w:sz w:val="17"/>
              </w:rPr>
              <w:t>Listing after entity and DTAC basics</w:t>
            </w:r>
          </w:p>
        </w:tc>
        <w:tc>
          <w:tcPr>
            <w:tcW w:type="dxa" w:w="2412"/>
          </w:tcPr>
          <w:p>
            <w:r>
              <w:rPr>
                <w:b w:val="0"/>
                <w:sz w:val="17"/>
              </w:rPr>
            </w:r>
            <w:r>
              <w:rPr>
                <w:b w:val="0"/>
                <w:sz w:val="17"/>
              </w:rPr>
              <w:t>Month 6+</w:t>
            </w:r>
          </w:p>
        </w:tc>
      </w:tr>
      <w:tr>
        <w:tc>
          <w:tcPr>
            <w:tcW w:type="dxa" w:w="2412"/>
          </w:tcPr>
          <w:p>
            <w:r>
              <w:rPr>
                <w:b w:val="0"/>
                <w:sz w:val="17"/>
              </w:rPr>
            </w:r>
            <w:r>
              <w:rPr>
                <w:b w:val="0"/>
                <w:sz w:val="17"/>
              </w:rPr>
              <w:t>7</w:t>
            </w:r>
          </w:p>
        </w:tc>
        <w:tc>
          <w:tcPr>
            <w:tcW w:type="dxa" w:w="2412"/>
          </w:tcPr>
          <w:p>
            <w:r>
              <w:rPr>
                <w:b w:val="0"/>
                <w:sz w:val="17"/>
              </w:rPr>
            </w:r>
            <w:r>
              <w:rPr>
                <w:b/>
                <w:sz w:val="17"/>
              </w:rPr>
              <w:t>ICB-level commissioning</w:t>
            </w:r>
            <w:r>
              <w:rPr>
                <w:b w:val="0"/>
                <w:sz w:val="17"/>
              </w:rPr>
              <w:t>: maternity and neonatal safety and equity programmes; local maternity and neonatal systems (LMNS)</w:t>
            </w:r>
          </w:p>
        </w:tc>
        <w:tc>
          <w:tcPr>
            <w:tcW w:type="dxa" w:w="2412"/>
          </w:tcPr>
          <w:p>
            <w:r>
              <w:rPr>
                <w:b w:val="0"/>
                <w:sz w:val="17"/>
              </w:rPr>
            </w:r>
            <w:r>
              <w:rPr>
                <w:b w:val="0"/>
                <w:sz w:val="17"/>
              </w:rPr>
              <w:t>Equity dashboard report as the door-opener</w:t>
            </w:r>
          </w:p>
        </w:tc>
        <w:tc>
          <w:tcPr>
            <w:tcW w:type="dxa" w:w="2412"/>
          </w:tcPr>
          <w:p>
            <w:r>
              <w:rPr>
                <w:b w:val="0"/>
                <w:sz w:val="17"/>
              </w:rPr>
            </w:r>
            <w:r>
              <w:rPr>
                <w:b w:val="0"/>
                <w:sz w:val="17"/>
              </w:rPr>
              <w:t>Month 6–12</w:t>
            </w:r>
          </w:p>
        </w:tc>
      </w:tr>
    </w:tbl>
    <w:p/>
    <w:p>
      <w:r>
        <w:t>Never claim "NHS-approved". Say "in service evaluation at [trust]" only when it is true.</w:t>
      </w:r>
    </w:p>
    <w:p>
      <w:pPr>
        <w:pStyle w:val="Heading3"/>
      </w:pPr>
      <w:r>
        <w:t>Nigeria (and similar African markets)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Step</w:t>
            </w:r>
          </w:p>
        </w:tc>
        <w:tc>
          <w:tcPr>
            <w:tcW w:type="dxa" w:w="3216"/>
          </w:tcPr>
          <w:p>
            <w:r>
              <w:rPr>
                <w:b/>
                <w:sz w:val="17"/>
              </w:rPr>
            </w:r>
            <w:r>
              <w:rPr>
                <w:b/>
                <w:sz w:val="17"/>
              </w:rPr>
              <w:t>Route</w:t>
            </w:r>
          </w:p>
        </w:tc>
        <w:tc>
          <w:tcPr>
            <w:tcW w:type="dxa" w:w="3216"/>
          </w:tcPr>
          <w:p>
            <w:r>
              <w:rPr>
                <w:b/>
                <w:sz w:val="17"/>
              </w:rPr>
            </w:r>
            <w:r>
              <w:rPr>
                <w:b/>
                <w:sz w:val="17"/>
              </w:rPr>
              <w:t>What it takes</w:t>
            </w:r>
          </w:p>
        </w:tc>
      </w:tr>
      <w:tr>
        <w:tc>
          <w:tcPr>
            <w:tcW w:type="dxa" w:w="3216"/>
          </w:tcPr>
          <w:p>
            <w:r>
              <w:rPr>
                <w:b w:val="0"/>
                <w:sz w:val="17"/>
              </w:rPr>
            </w:r>
            <w:r>
              <w:rPr>
                <w:b w:val="0"/>
                <w:sz w:val="17"/>
              </w:rPr>
              <w:t>1</w:t>
            </w:r>
          </w:p>
        </w:tc>
        <w:tc>
          <w:tcPr>
            <w:tcW w:type="dxa" w:w="3216"/>
          </w:tcPr>
          <w:p>
            <w:r>
              <w:rPr>
                <w:b w:val="0"/>
                <w:sz w:val="17"/>
              </w:rPr>
            </w:r>
            <w:r>
              <w:rPr>
                <w:b/>
                <w:sz w:val="17"/>
              </w:rPr>
              <w:t>State Primary Health Care Development Agencies (SPHCDAs)</w:t>
            </w:r>
            <w:r>
              <w:rPr>
                <w:b w:val="0"/>
                <w:sz w:val="17"/>
              </w:rPr>
              <w:t xml:space="preserve"> and state ministries of health own community maternal programmes; the </w:t>
            </w:r>
            <w:r>
              <w:rPr>
                <w:b/>
                <w:sz w:val="17"/>
              </w:rPr>
              <w:t>NPHCDA</w:t>
            </w:r>
            <w:r>
              <w:rPr>
                <w:b w:val="0"/>
                <w:sz w:val="17"/>
              </w:rPr>
              <w:t xml:space="preserve"> and the </w:t>
            </w:r>
            <w:r>
              <w:rPr>
                <w:b/>
                <w:sz w:val="17"/>
              </w:rPr>
              <w:t>Basic Health Care Provision Fund (BHCPF)</w:t>
            </w:r>
            <w:r>
              <w:rPr>
                <w:b w:val="0"/>
                <w:sz w:val="17"/>
              </w:rPr>
              <w:t xml:space="preserve"> finance primary care at scale</w:t>
            </w:r>
          </w:p>
        </w:tc>
        <w:tc>
          <w:tcPr>
            <w:tcW w:type="dxa" w:w="3216"/>
          </w:tcPr>
          <w:p>
            <w:r>
              <w:rPr>
                <w:b w:val="0"/>
                <w:sz w:val="17"/>
              </w:rPr>
            </w:r>
            <w:r>
              <w:rPr>
                <w:b w:val="0"/>
                <w:sz w:val="17"/>
              </w:rPr>
              <w:t>Map the state's existing digital programmes first (Ekiti has mDoc); propose complementarity or choose a state without an incumbent</w:t>
            </w:r>
          </w:p>
        </w:tc>
      </w:tr>
      <w:tr>
        <w:tc>
          <w:tcPr>
            <w:tcW w:type="dxa" w:w="3216"/>
          </w:tcPr>
          <w:p>
            <w:r>
              <w:rPr>
                <w:b w:val="0"/>
                <w:sz w:val="17"/>
              </w:rPr>
            </w:r>
            <w:r>
              <w:rPr>
                <w:b w:val="0"/>
                <w:sz w:val="17"/>
              </w:rPr>
              <w:t>2</w:t>
            </w:r>
          </w:p>
        </w:tc>
        <w:tc>
          <w:tcPr>
            <w:tcW w:type="dxa" w:w="3216"/>
          </w:tcPr>
          <w:p>
            <w:r>
              <w:rPr>
                <w:b w:val="0"/>
                <w:sz w:val="17"/>
              </w:rPr>
            </w:r>
            <w:r>
              <w:rPr>
                <w:b/>
                <w:sz w:val="17"/>
              </w:rPr>
              <w:t>Donor-financed implementers</w:t>
            </w:r>
            <w:r>
              <w:rPr>
                <w:b w:val="0"/>
                <w:sz w:val="17"/>
              </w:rPr>
              <w:t xml:space="preserve"> (World Bank-financed state programmes, Global Fund, Gates, MSD for Mothers, UNICEF, UNFPA, Jhpiego, Society for Family Health, PATH) hold the budgets and procurement power</w:t>
            </w:r>
          </w:p>
        </w:tc>
        <w:tc>
          <w:tcPr>
            <w:tcW w:type="dxa" w:w="3216"/>
          </w:tcPr>
          <w:p>
            <w:r>
              <w:rPr>
                <w:b w:val="0"/>
                <w:sz w:val="17"/>
              </w:rPr>
            </w:r>
            <w:r>
              <w:rPr>
                <w:b w:val="0"/>
                <w:sz w:val="17"/>
              </w:rPr>
              <w:t>Sub-contract as the technology partner of an implementer rather than selling to the state alone</w:t>
            </w:r>
          </w:p>
        </w:tc>
      </w:tr>
      <w:tr>
        <w:tc>
          <w:tcPr>
            <w:tcW w:type="dxa" w:w="3216"/>
          </w:tcPr>
          <w:p>
            <w:r>
              <w:rPr>
                <w:b w:val="0"/>
                <w:sz w:val="17"/>
              </w:rPr>
            </w:r>
            <w:r>
              <w:rPr>
                <w:b w:val="0"/>
                <w:sz w:val="17"/>
              </w:rPr>
              <w:t>3</w:t>
            </w:r>
          </w:p>
        </w:tc>
        <w:tc>
          <w:tcPr>
            <w:tcW w:type="dxa" w:w="3216"/>
          </w:tcPr>
          <w:p>
            <w:r>
              <w:rPr>
                <w:b w:val="0"/>
                <w:sz w:val="17"/>
              </w:rPr>
            </w:r>
            <w:r>
              <w:rPr>
                <w:b/>
                <w:sz w:val="17"/>
              </w:rPr>
              <w:t>Local incorporation and registration</w:t>
            </w:r>
            <w:r>
              <w:rPr>
                <w:b w:val="0"/>
                <w:sz w:val="17"/>
              </w:rPr>
              <w:t>: CAC company, NDPA data-protection registration, tax registration; in-country partner for support</w:t>
            </w:r>
          </w:p>
        </w:tc>
        <w:tc>
          <w:tcPr>
            <w:tcW w:type="dxa" w:w="3216"/>
          </w:tcPr>
          <w:p>
            <w:r>
              <w:rPr>
                <w:b w:val="0"/>
                <w:sz w:val="17"/>
              </w:rPr>
            </w:r>
            <w:r>
              <w:rPr>
                <w:b w:val="0"/>
                <w:sz w:val="17"/>
              </w:rPr>
              <w:t xml:space="preserve">Required for most state contracts; budget in </w:t>
            </w:r>
            <w:r>
              <w:rPr>
                <w:rFonts w:ascii="Consolas" w:hAnsi="Consolas"/>
                <w:b w:val="0"/>
                <w:sz w:val="17"/>
              </w:rPr>
              <w:t>15_LEGAL_AND_REGULATORY.md</w:t>
            </w:r>
          </w:p>
        </w:tc>
      </w:tr>
      <w:tr>
        <w:tc>
          <w:tcPr>
            <w:tcW w:type="dxa" w:w="3216"/>
          </w:tcPr>
          <w:p>
            <w:r>
              <w:rPr>
                <w:b w:val="0"/>
                <w:sz w:val="17"/>
              </w:rPr>
            </w:r>
            <w:r>
              <w:rPr>
                <w:b w:val="0"/>
                <w:sz w:val="17"/>
              </w:rPr>
              <w:t>4</w:t>
            </w:r>
          </w:p>
        </w:tc>
        <w:tc>
          <w:tcPr>
            <w:tcW w:type="dxa" w:w="3216"/>
          </w:tcPr>
          <w:p>
            <w:r>
              <w:rPr>
                <w:b w:val="0"/>
                <w:sz w:val="17"/>
              </w:rPr>
            </w:r>
            <w:r>
              <w:rPr>
                <w:b/>
                <w:sz w:val="17"/>
              </w:rPr>
              <w:t>Procurement</w:t>
            </w:r>
            <w:r>
              <w:rPr>
                <w:b w:val="0"/>
                <w:sz w:val="17"/>
              </w:rPr>
              <w:t>: Bureau of Public Procurement rules; pilots often start as MoUs with an evaluation and move to procurement after evidence</w:t>
            </w:r>
          </w:p>
        </w:tc>
        <w:tc>
          <w:tcPr>
            <w:tcW w:type="dxa" w:w="3216"/>
          </w:tcPr>
          <w:p>
            <w:r>
              <w:rPr>
                <w:b w:val="0"/>
                <w:sz w:val="17"/>
              </w:rPr>
            </w:r>
            <w:r>
              <w:rPr>
                <w:b w:val="0"/>
                <w:sz w:val="17"/>
              </w:rPr>
              <w:t>MoU template; evaluation design; DHIS2 alignment</w:t>
            </w:r>
          </w:p>
        </w:tc>
      </w:tr>
      <w:tr>
        <w:tc>
          <w:tcPr>
            <w:tcW w:type="dxa" w:w="3216"/>
          </w:tcPr>
          <w:p>
            <w:r>
              <w:rPr>
                <w:b w:val="0"/>
                <w:sz w:val="17"/>
              </w:rPr>
            </w:r>
            <w:r>
              <w:rPr>
                <w:b w:val="0"/>
                <w:sz w:val="17"/>
              </w:rPr>
              <w:t>5</w:t>
            </w:r>
          </w:p>
        </w:tc>
        <w:tc>
          <w:tcPr>
            <w:tcW w:type="dxa" w:w="3216"/>
          </w:tcPr>
          <w:p>
            <w:r>
              <w:rPr>
                <w:b w:val="0"/>
                <w:sz w:val="17"/>
              </w:rPr>
            </w:r>
            <w:r>
              <w:rPr>
                <w:b/>
                <w:sz w:val="17"/>
              </w:rPr>
              <w:t>Champions</w:t>
            </w:r>
            <w:r>
              <w:rPr>
                <w:b w:val="0"/>
                <w:sz w:val="17"/>
              </w:rPr>
              <w:t>: state first ladies' programmes, commissioners for health, the National Council on Health; professional bodies (SOGON, NANNM)</w:t>
            </w:r>
          </w:p>
        </w:tc>
        <w:tc>
          <w:tcPr>
            <w:tcW w:type="dxa" w:w="3216"/>
          </w:tcPr>
          <w:p>
            <w:r>
              <w:rPr>
                <w:b w:val="0"/>
                <w:sz w:val="17"/>
              </w:rPr>
            </w:r>
            <w:r>
              <w:rPr>
                <w:b w:val="0"/>
                <w:sz w:val="17"/>
              </w:rPr>
              <w:t>Present the evidence plan and complementarity; avoid the £36m headline</w:t>
            </w:r>
          </w:p>
        </w:tc>
      </w:tr>
      <w:tr>
        <w:tc>
          <w:tcPr>
            <w:tcW w:type="dxa" w:w="3216"/>
          </w:tcPr>
          <w:p>
            <w:r>
              <w:rPr>
                <w:b w:val="0"/>
                <w:sz w:val="17"/>
              </w:rPr>
            </w:r>
            <w:r>
              <w:rPr>
                <w:b w:val="0"/>
                <w:sz w:val="17"/>
              </w:rPr>
              <w:t>6</w:t>
            </w:r>
          </w:p>
        </w:tc>
        <w:tc>
          <w:tcPr>
            <w:tcW w:type="dxa" w:w="3216"/>
          </w:tcPr>
          <w:p>
            <w:r>
              <w:rPr>
                <w:b w:val="0"/>
                <w:sz w:val="17"/>
              </w:rPr>
            </w:r>
            <w:r>
              <w:rPr>
                <w:b/>
                <w:sz w:val="17"/>
              </w:rPr>
              <w:t>Financing innovation</w:t>
            </w:r>
            <w:r>
              <w:rPr>
                <w:b w:val="0"/>
                <w:sz w:val="17"/>
              </w:rPr>
              <w:t>: results-based financing pilots; diaspora sponsorship reduces state cost per woman</w:t>
            </w:r>
          </w:p>
        </w:tc>
        <w:tc>
          <w:tcPr>
            <w:tcW w:type="dxa" w:w="3216"/>
          </w:tcPr>
          <w:p>
            <w:r>
              <w:rPr>
                <w:b w:val="0"/>
                <w:sz w:val="17"/>
              </w:rPr>
            </w:r>
            <w:r>
              <w:rPr>
                <w:b w:val="0"/>
                <w:sz w:val="17"/>
              </w:rPr>
              <w:t>Offer a blended model: state pays base, sponsors and donors pay engagement</w:t>
            </w:r>
          </w:p>
        </w:tc>
      </w:tr>
    </w:tbl>
    <w:p/>
    <w:p>
      <w:r>
        <w:t>Also score Kenya, Ghana and Rwanda (</w:t>
      </w:r>
      <w:r>
        <w:rPr>
          <w:rFonts w:ascii="Consolas" w:hAnsi="Consolas"/>
          <w:sz w:val="18"/>
        </w:rPr>
        <w:t>05_MARKET_STRATEGY.md</w:t>
      </w:r>
      <w:r>
        <w:t>); Rwanda's digital-health openness and Kenya's county health systems make them strong second markets.</w:t>
      </w:r>
    </w:p>
    <w:p>
      <w:pPr>
        <w:pStyle w:val="Heading3"/>
      </w:pPr>
      <w:r>
        <w:t>What makes a government buyer say yes</w:t>
      </w:r>
    </w:p>
    <w:p>
      <w:pPr>
        <w:pStyle w:val="ListNumber"/>
      </w:pPr>
      <w:r>
        <w:t>It works without connectivity and on the phones they already have.</w:t>
      </w:r>
    </w:p>
    <w:p>
      <w:pPr>
        <w:pStyle w:val="ListNumber"/>
      </w:pPr>
      <w:r>
        <w:t>It complements what they have; nothing is thrown away.</w:t>
      </w:r>
    </w:p>
    <w:p>
      <w:pPr>
        <w:pStyle w:val="ListNumber"/>
      </w:pPr>
      <w:r>
        <w:t>Evidence is generated by design and shared openly.</w:t>
      </w:r>
    </w:p>
    <w:p>
      <w:pPr>
        <w:pStyle w:val="ListNumber"/>
      </w:pPr>
      <w:r>
        <w:t>Data stays under their control; residency and sovereignty are answered up front.</w:t>
      </w:r>
    </w:p>
    <w:p>
      <w:pPr>
        <w:pStyle w:val="ListNumber"/>
      </w:pPr>
      <w:r>
        <w:t>The price per woman is defensible and partly paid on results.</w:t>
      </w:r>
    </w:p>
    <w:p>
      <w:pPr>
        <w:pStyle w:val="ListNumber"/>
      </w:pPr>
      <w:r>
        <w:t>Workforce training is included.</w:t>
      </w:r>
    </w:p>
    <w:p>
      <w:pPr>
        <w:pStyle w:val="ListNumber"/>
      </w:pPr>
      <w:r>
        <w:t>There is a named clinician behind the escalation rules, and a safety case.</w:t>
      </w:r>
    </w:p>
    <w:p>
      <w:pPr>
        <w:pStyle w:val="Heading2"/>
      </w:pPr>
      <w:r>
        <w:t>5. What investors will ask, and the honest answer today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Question</w:t>
            </w:r>
          </w:p>
        </w:tc>
        <w:tc>
          <w:tcPr>
            <w:tcW w:type="dxa" w:w="3216"/>
          </w:tcPr>
          <w:p>
            <w:r>
              <w:rPr>
                <w:b/>
                <w:sz w:val="17"/>
              </w:rPr>
            </w:r>
            <w:r>
              <w:rPr>
                <w:b/>
                <w:sz w:val="17"/>
              </w:rPr>
              <w:t>Answer now</w:t>
            </w:r>
          </w:p>
        </w:tc>
        <w:tc>
          <w:tcPr>
            <w:tcW w:type="dxa" w:w="3216"/>
          </w:tcPr>
          <w:p>
            <w:r>
              <w:rPr>
                <w:b/>
                <w:sz w:val="17"/>
              </w:rPr>
            </w:r>
            <w:r>
              <w:rPr>
                <w:b/>
                <w:sz w:val="17"/>
              </w:rPr>
              <w:t>Answer at Day 90 (target)</w:t>
            </w:r>
          </w:p>
        </w:tc>
      </w:tr>
      <w:tr>
        <w:tc>
          <w:tcPr>
            <w:tcW w:type="dxa" w:w="3216"/>
          </w:tcPr>
          <w:p>
            <w:r>
              <w:rPr>
                <w:b w:val="0"/>
                <w:sz w:val="17"/>
              </w:rPr>
            </w:r>
            <w:r>
              <w:rPr>
                <w:b w:val="0"/>
                <w:sz w:val="17"/>
              </w:rPr>
              <w:t>Do you own MaternaLink?</w:t>
            </w:r>
          </w:p>
        </w:tc>
        <w:tc>
          <w:tcPr>
            <w:tcW w:type="dxa" w:w="3216"/>
          </w:tcPr>
          <w:p>
            <w:r>
              <w:rPr>
                <w:b w:val="0"/>
                <w:sz w:val="17"/>
              </w:rPr>
            </w:r>
            <w:r>
              <w:rPr>
                <w:b w:val="0"/>
                <w:sz w:val="17"/>
              </w:rPr>
              <w:t>Not yet in writing</w:t>
            </w:r>
          </w:p>
        </w:tc>
        <w:tc>
          <w:tcPr>
            <w:tcW w:type="dxa" w:w="3216"/>
          </w:tcPr>
          <w:p>
            <w:r>
              <w:rPr>
                <w:b w:val="0"/>
                <w:sz w:val="17"/>
              </w:rPr>
            </w:r>
            <w:r>
              <w:rPr>
                <w:b w:val="0"/>
                <w:sz w:val="17"/>
              </w:rPr>
              <w:t>Yes, IP deed signed</w:t>
            </w:r>
          </w:p>
        </w:tc>
      </w:tr>
      <w:tr>
        <w:tc>
          <w:tcPr>
            <w:tcW w:type="dxa" w:w="3216"/>
          </w:tcPr>
          <w:p>
            <w:r>
              <w:rPr>
                <w:b w:val="0"/>
                <w:sz w:val="17"/>
              </w:rPr>
            </w:r>
            <w:r>
              <w:rPr>
                <w:b w:val="0"/>
                <w:sz w:val="17"/>
              </w:rPr>
              <w:t>Is it a medical device?</w:t>
            </w:r>
          </w:p>
        </w:tc>
        <w:tc>
          <w:tcPr>
            <w:tcW w:type="dxa" w:w="3216"/>
          </w:tcPr>
          <w:p>
            <w:r>
              <w:rPr>
                <w:b w:val="0"/>
                <w:sz w:val="17"/>
              </w:rPr>
            </w:r>
            <w:r>
              <w:rPr>
                <w:b w:val="0"/>
                <w:sz w:val="17"/>
              </w:rPr>
              <w:t>Not as re-scoped; the prototype needs changes</w:t>
            </w:r>
          </w:p>
        </w:tc>
        <w:tc>
          <w:tcPr>
            <w:tcW w:type="dxa" w:w="3216"/>
          </w:tcPr>
          <w:p>
            <w:r>
              <w:rPr>
                <w:b w:val="0"/>
                <w:sz w:val="17"/>
              </w:rPr>
            </w:r>
            <w:r>
              <w:rPr>
                <w:b w:val="0"/>
                <w:sz w:val="17"/>
              </w:rPr>
              <w:t>Intended-use statement adopted; prototype changed; regulatory opinion scoped</w:t>
            </w:r>
          </w:p>
        </w:tc>
      </w:tr>
      <w:tr>
        <w:tc>
          <w:tcPr>
            <w:tcW w:type="dxa" w:w="3216"/>
          </w:tcPr>
          <w:p>
            <w:r>
              <w:rPr>
                <w:b w:val="0"/>
                <w:sz w:val="17"/>
              </w:rPr>
            </w:r>
            <w:r>
              <w:rPr>
                <w:b w:val="0"/>
                <w:sz w:val="17"/>
              </w:rPr>
              <w:t>Any revenue?</w:t>
            </w:r>
          </w:p>
        </w:tc>
        <w:tc>
          <w:tcPr>
            <w:tcW w:type="dxa" w:w="3216"/>
          </w:tcPr>
          <w:p>
            <w:r>
              <w:rPr>
                <w:b w:val="0"/>
                <w:sz w:val="17"/>
              </w:rPr>
            </w:r>
            <w:r>
              <w:rPr>
                <w:b w:val="0"/>
                <w:sz w:val="17"/>
              </w:rPr>
              <w:t>None</w:t>
            </w:r>
          </w:p>
        </w:tc>
        <w:tc>
          <w:tcPr>
            <w:tcW w:type="dxa" w:w="3216"/>
          </w:tcPr>
          <w:p>
            <w:r>
              <w:rPr>
                <w:b w:val="0"/>
                <w:sz w:val="17"/>
              </w:rPr>
            </w:r>
            <w:r>
              <w:rPr>
                <w:b w:val="0"/>
                <w:sz w:val="17"/>
              </w:rPr>
              <w:t>First advisory engagements</w:t>
            </w:r>
          </w:p>
        </w:tc>
      </w:tr>
      <w:tr>
        <w:tc>
          <w:tcPr>
            <w:tcW w:type="dxa" w:w="3216"/>
          </w:tcPr>
          <w:p>
            <w:r>
              <w:rPr>
                <w:b w:val="0"/>
                <w:sz w:val="17"/>
              </w:rPr>
            </w:r>
            <w:r>
              <w:rPr>
                <w:b w:val="0"/>
                <w:sz w:val="17"/>
              </w:rPr>
              <w:t>Any customer or pilot?</w:t>
            </w:r>
          </w:p>
        </w:tc>
        <w:tc>
          <w:tcPr>
            <w:tcW w:type="dxa" w:w="3216"/>
          </w:tcPr>
          <w:p>
            <w:r>
              <w:rPr>
                <w:b w:val="0"/>
                <w:sz w:val="17"/>
              </w:rPr>
            </w:r>
            <w:r>
              <w:rPr>
                <w:b w:val="0"/>
                <w:sz w:val="17"/>
              </w:rPr>
              <w:t>A prior ministry conversation with no outcome</w:t>
            </w:r>
          </w:p>
        </w:tc>
        <w:tc>
          <w:tcPr>
            <w:tcW w:type="dxa" w:w="3216"/>
          </w:tcPr>
          <w:p>
            <w:r>
              <w:rPr>
                <w:b w:val="0"/>
                <w:sz w:val="17"/>
              </w:rPr>
            </w:r>
            <w:r>
              <w:rPr>
                <w:b w:val="0"/>
                <w:sz w:val="17"/>
              </w:rPr>
              <w:t>One pilot LOI; 15 interviews documented</w:t>
            </w:r>
          </w:p>
        </w:tc>
      </w:tr>
      <w:tr>
        <w:tc>
          <w:tcPr>
            <w:tcW w:type="dxa" w:w="3216"/>
          </w:tcPr>
          <w:p>
            <w:r>
              <w:rPr>
                <w:b w:val="0"/>
                <w:sz w:val="17"/>
              </w:rPr>
            </w:r>
            <w:r>
              <w:rPr>
                <w:b w:val="0"/>
                <w:sz w:val="17"/>
              </w:rPr>
              <w:t>Who is on the team?</w:t>
            </w:r>
          </w:p>
        </w:tc>
        <w:tc>
          <w:tcPr>
            <w:tcW w:type="dxa" w:w="3216"/>
          </w:tcPr>
          <w:p>
            <w:r>
              <w:rPr>
                <w:b w:val="0"/>
                <w:sz w:val="17"/>
              </w:rPr>
            </w:r>
            <w:r>
              <w:rPr>
                <w:b w:val="0"/>
                <w:sz w:val="17"/>
              </w:rPr>
              <w:t>Solo founder plus a collaborator</w:t>
            </w:r>
          </w:p>
        </w:tc>
        <w:tc>
          <w:tcPr>
            <w:tcW w:type="dxa" w:w="3216"/>
          </w:tcPr>
          <w:p>
            <w:r>
              <w:rPr>
                <w:b w:val="0"/>
                <w:sz w:val="17"/>
              </w:rPr>
            </w:r>
            <w:r>
              <w:rPr>
                <w:b w:val="0"/>
                <w:sz w:val="17"/>
              </w:rPr>
              <w:t>Founder plus two advisers, fractional CTO and clinical safety officer identified</w:t>
            </w:r>
          </w:p>
        </w:tc>
      </w:tr>
      <w:tr>
        <w:tc>
          <w:tcPr>
            <w:tcW w:type="dxa" w:w="3216"/>
          </w:tcPr>
          <w:p>
            <w:r>
              <w:rPr>
                <w:b w:val="0"/>
                <w:sz w:val="17"/>
              </w:rPr>
            </w:r>
            <w:r>
              <w:rPr>
                <w:b w:val="0"/>
                <w:sz w:val="17"/>
              </w:rPr>
              <w:t>Why you?</w:t>
            </w:r>
          </w:p>
        </w:tc>
        <w:tc>
          <w:tcPr>
            <w:tcW w:type="dxa" w:w="3216"/>
          </w:tcPr>
          <w:p>
            <w:r>
              <w:rPr>
                <w:b w:val="0"/>
                <w:sz w:val="17"/>
              </w:rPr>
            </w:r>
            <w:r>
              <w:rPr>
                <w:b w:val="0"/>
                <w:sz w:val="17"/>
              </w:rPr>
              <w:t>Founder story (to be written)</w:t>
            </w:r>
          </w:p>
        </w:tc>
        <w:tc>
          <w:tcPr>
            <w:tcW w:type="dxa" w:w="3216"/>
          </w:tcPr>
          <w:p>
            <w:r>
              <w:rPr>
                <w:b w:val="0"/>
                <w:sz w:val="17"/>
              </w:rPr>
            </w:r>
            <w:r>
              <w:rPr>
                <w:b w:val="0"/>
                <w:sz w:val="17"/>
              </w:rPr>
              <w:t>Founder story plus first evidence of execution</w:t>
            </w:r>
          </w:p>
        </w:tc>
      </w:tr>
      <w:tr>
        <w:tc>
          <w:tcPr>
            <w:tcW w:type="dxa" w:w="3216"/>
          </w:tcPr>
          <w:p>
            <w:r>
              <w:rPr>
                <w:b w:val="0"/>
                <w:sz w:val="17"/>
              </w:rPr>
            </w:r>
            <w:r>
              <w:rPr>
                <w:b w:val="0"/>
                <w:sz w:val="17"/>
              </w:rPr>
              <w:t>How much and for what?</w:t>
            </w:r>
          </w:p>
        </w:tc>
        <w:tc>
          <w:tcPr>
            <w:tcW w:type="dxa" w:w="3216"/>
          </w:tcPr>
          <w:p>
            <w:r>
              <w:rPr>
                <w:b w:val="0"/>
                <w:sz w:val="17"/>
              </w:rPr>
            </w:r>
            <w:r>
              <w:rPr>
                <w:b w:val="0"/>
                <w:sz w:val="17"/>
              </w:rPr>
              <w:t>£250k–£500k pre-seed</w:t>
            </w:r>
          </w:p>
        </w:tc>
        <w:tc>
          <w:tcPr>
            <w:tcW w:type="dxa" w:w="3216"/>
          </w:tcPr>
          <w:p>
            <w:r>
              <w:rPr>
                <w:b w:val="0"/>
                <w:sz w:val="17"/>
              </w:rPr>
            </w:r>
            <w:r>
              <w:rPr>
                <w:b w:val="0"/>
                <w:sz w:val="17"/>
              </w:rPr>
              <w:t>Same, with milestones tied to the model</w:t>
            </w:r>
          </w:p>
        </w:tc>
      </w:tr>
    </w:tbl>
    <w:p/>
    <w:p>
      <w:pPr>
        <w:pStyle w:val="Heading2"/>
      </w:pPr>
      <w:r>
        <w:t>6. Sequence for the next 120 days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Days</w:t>
            </w:r>
          </w:p>
        </w:tc>
        <w:tc>
          <w:tcPr>
            <w:tcW w:type="dxa" w:w="3216"/>
          </w:tcPr>
          <w:p>
            <w:r>
              <w:rPr>
                <w:b/>
                <w:sz w:val="17"/>
              </w:rPr>
            </w:r>
            <w:r>
              <w:rPr>
                <w:b/>
                <w:sz w:val="17"/>
              </w:rPr>
              <w:t>Focus</w:t>
            </w:r>
          </w:p>
        </w:tc>
        <w:tc>
          <w:tcPr>
            <w:tcW w:type="dxa" w:w="3216"/>
          </w:tcPr>
          <w:p>
            <w:r>
              <w:rPr>
                <w:b/>
                <w:sz w:val="17"/>
              </w:rPr>
            </w:r>
            <w:r>
              <w:rPr>
                <w:b/>
                <w:sz w:val="17"/>
              </w:rPr>
              <w:t>Exit criteria</w:t>
            </w:r>
          </w:p>
        </w:tc>
      </w:tr>
      <w:tr>
        <w:tc>
          <w:tcPr>
            <w:tcW w:type="dxa" w:w="3216"/>
          </w:tcPr>
          <w:p>
            <w:r>
              <w:rPr>
                <w:b w:val="0"/>
                <w:sz w:val="17"/>
              </w:rPr>
            </w:r>
            <w:r>
              <w:rPr>
                <w:b w:val="0"/>
                <w:sz w:val="17"/>
              </w:rPr>
              <w:t>1–14</w:t>
            </w:r>
          </w:p>
        </w:tc>
        <w:tc>
          <w:tcPr>
            <w:tcW w:type="dxa" w:w="3216"/>
          </w:tcPr>
          <w:p>
            <w:r>
              <w:rPr>
                <w:b w:val="0"/>
                <w:sz w:val="17"/>
              </w:rPr>
            </w:r>
            <w:r>
              <w:rPr>
                <w:b w:val="0"/>
                <w:sz w:val="17"/>
              </w:rPr>
              <w:t>Blockers: name, entity, IP heads of terms, retire claims, prototype behind auth</w:t>
            </w:r>
          </w:p>
        </w:tc>
        <w:tc>
          <w:tcPr>
            <w:tcW w:type="dxa" w:w="3216"/>
          </w:tcPr>
          <w:p>
            <w:r>
              <w:rPr>
                <w:b w:val="0"/>
                <w:sz w:val="17"/>
              </w:rPr>
            </w:r>
            <w:r>
              <w:rPr>
                <w:b w:val="0"/>
                <w:sz w:val="17"/>
              </w:rPr>
              <w:t>Items 1–4 of the scorecard ✓</w:t>
            </w:r>
          </w:p>
        </w:tc>
      </w:tr>
      <w:tr>
        <w:tc>
          <w:tcPr>
            <w:tcW w:type="dxa" w:w="3216"/>
          </w:tcPr>
          <w:p>
            <w:r>
              <w:rPr>
                <w:b w:val="0"/>
                <w:sz w:val="17"/>
              </w:rPr>
            </w:r>
            <w:r>
              <w:rPr>
                <w:b w:val="0"/>
                <w:sz w:val="17"/>
              </w:rPr>
              <w:t>15–45</w:t>
            </w:r>
          </w:p>
        </w:tc>
        <w:tc>
          <w:tcPr>
            <w:tcW w:type="dxa" w:w="3216"/>
          </w:tcPr>
          <w:p>
            <w:r>
              <w:rPr>
                <w:b w:val="0"/>
                <w:sz w:val="17"/>
              </w:rPr>
            </w:r>
            <w:r>
              <w:rPr>
                <w:b w:val="0"/>
                <w:sz w:val="17"/>
              </w:rPr>
              <w:t>Revenue and evidence: advisory outreach, discovery interviews, advisory-board asks, prototype audit</w:t>
            </w:r>
          </w:p>
        </w:tc>
        <w:tc>
          <w:tcPr>
            <w:tcW w:type="dxa" w:w="3216"/>
          </w:tcPr>
          <w:p>
            <w:r>
              <w:rPr>
                <w:b w:val="0"/>
                <w:sz w:val="17"/>
              </w:rPr>
            </w:r>
            <w:r>
              <w:rPr>
                <w:b w:val="0"/>
                <w:sz w:val="17"/>
              </w:rPr>
              <w:t>First SOW; 10 interviews; 1 adviser</w:t>
            </w:r>
          </w:p>
        </w:tc>
      </w:tr>
      <w:tr>
        <w:tc>
          <w:tcPr>
            <w:tcW w:type="dxa" w:w="3216"/>
          </w:tcPr>
          <w:p>
            <w:r>
              <w:rPr>
                <w:b w:val="0"/>
                <w:sz w:val="17"/>
              </w:rPr>
            </w:r>
            <w:r>
              <w:rPr>
                <w:b w:val="0"/>
                <w:sz w:val="17"/>
              </w:rPr>
              <w:t>46–75</w:t>
            </w:r>
          </w:p>
        </w:tc>
        <w:tc>
          <w:tcPr>
            <w:tcW w:type="dxa" w:w="3216"/>
          </w:tcPr>
          <w:p>
            <w:r>
              <w:rPr>
                <w:b w:val="0"/>
                <w:sz w:val="17"/>
              </w:rPr>
            </w:r>
            <w:r>
              <w:rPr>
                <w:b w:val="0"/>
                <w:sz w:val="17"/>
              </w:rPr>
              <w:t>Pilot and data room: pilot LOI, data room v1, model with actuals, Sponsor a Safe Pregnancy test page, grant bid</w:t>
            </w:r>
          </w:p>
        </w:tc>
        <w:tc>
          <w:tcPr>
            <w:tcW w:type="dxa" w:w="3216"/>
          </w:tcPr>
          <w:p>
            <w:r>
              <w:rPr>
                <w:b w:val="0"/>
                <w:sz w:val="17"/>
              </w:rPr>
            </w:r>
            <w:r>
              <w:rPr>
                <w:b w:val="0"/>
                <w:sz w:val="17"/>
              </w:rPr>
              <w:t>LOI; data room; readiness ≥ 7/10</w:t>
            </w:r>
          </w:p>
        </w:tc>
      </w:tr>
      <w:tr>
        <w:tc>
          <w:tcPr>
            <w:tcW w:type="dxa" w:w="3216"/>
          </w:tcPr>
          <w:p>
            <w:r>
              <w:rPr>
                <w:b w:val="0"/>
                <w:sz w:val="17"/>
              </w:rPr>
            </w:r>
            <w:r>
              <w:rPr>
                <w:b w:val="0"/>
                <w:sz w:val="17"/>
              </w:rPr>
              <w:t>61–120</w:t>
            </w:r>
          </w:p>
        </w:tc>
        <w:tc>
          <w:tcPr>
            <w:tcW w:type="dxa" w:w="3216"/>
          </w:tcPr>
          <w:p>
            <w:r>
              <w:rPr>
                <w:b w:val="0"/>
                <w:sz w:val="17"/>
              </w:rPr>
            </w:r>
            <w:r>
              <w:rPr>
                <w:b w:val="0"/>
                <w:sz w:val="17"/>
              </w:rPr>
              <w:t>Investors: Call List 1 then 2; angels and syndicates first; impact and women's-health funds in parallel</w:t>
            </w:r>
          </w:p>
        </w:tc>
        <w:tc>
          <w:tcPr>
            <w:tcW w:type="dxa" w:w="3216"/>
          </w:tcPr>
          <w:p>
            <w:r>
              <w:rPr>
                <w:b w:val="0"/>
                <w:sz w:val="17"/>
              </w:rPr>
            </w:r>
            <w:r>
              <w:rPr>
                <w:b w:val="0"/>
                <w:sz w:val="17"/>
              </w:rPr>
              <w:t>25 conversations; 8 meetings; lead investor conversation</w:t>
            </w:r>
          </w:p>
        </w:tc>
      </w:tr>
      <w:tr>
        <w:tc>
          <w:tcPr>
            <w:tcW w:type="dxa" w:w="3216"/>
          </w:tcPr>
          <w:p>
            <w:r>
              <w:rPr>
                <w:b w:val="0"/>
                <w:sz w:val="17"/>
              </w:rPr>
            </w:r>
            <w:r>
              <w:rPr>
                <w:b w:val="0"/>
                <w:sz w:val="17"/>
              </w:rPr>
              <w:t>120–150</w:t>
            </w:r>
          </w:p>
        </w:tc>
        <w:tc>
          <w:tcPr>
            <w:tcW w:type="dxa" w:w="3216"/>
          </w:tcPr>
          <w:p>
            <w:r>
              <w:rPr>
                <w:b w:val="0"/>
                <w:sz w:val="17"/>
              </w:rPr>
            </w:r>
            <w:r>
              <w:rPr>
                <w:b w:val="0"/>
                <w:sz w:val="17"/>
              </w:rPr>
              <w:t>Close pre-seed; start pilot</w:t>
            </w:r>
          </w:p>
        </w:tc>
        <w:tc>
          <w:tcPr>
            <w:tcW w:type="dxa" w:w="3216"/>
          </w:tcPr>
          <w:p>
            <w:r>
              <w:rPr>
                <w:b w:val="0"/>
                <w:sz w:val="17"/>
              </w:rPr>
            </w:r>
            <w:r>
              <w:rPr>
                <w:b w:val="0"/>
                <w:sz w:val="17"/>
              </w:rPr>
              <w:t>Funds in; pilot kick-off</w:t>
            </w:r>
          </w:p>
        </w:tc>
      </w:tr>
    </w:tbl>
    <w:p/>
    <w:p>
      <w:pPr>
        <w:pStyle w:val="Heading2"/>
      </w:pPr>
      <w:r>
        <w:t>Priorities / Risks / Next actions</w:t>
      </w:r>
    </w:p>
    <w:p>
      <w:r>
        <w:rPr>
          <w:b/>
        </w:rPr>
        <w:t>Priorities:</w:t>
      </w:r>
      <w:r>
        <w:t xml:space="preserve"> blockers first; concept reframe adopted in all materials; government routes worked through partners.</w:t>
      </w:r>
    </w:p>
    <w:p>
      <w:r>
        <w:rPr>
          <w:b/>
        </w:rPr>
        <w:t>Risks:</w:t>
      </w:r>
      <w:r>
        <w:t xml:space="preserve"> founder time; premature investor contact; concept drift back to "AI prediction"; Nigeria procurement timelines.</w:t>
      </w:r>
    </w:p>
    <w:p>
      <w:r>
        <w:rPr>
          <w:b/>
        </w:rPr>
        <w:t>Next actions:</w:t>
      </w:r>
      <w:r>
        <w:t xml:space="preserve"> adopt the reframe in the deck and site (this build already uses the continuity language); book the Health Innovation Network conversation; draft the Sponsor a Safe Pregnancy test page; start Day 1 of </w:t>
      </w:r>
      <w:r>
        <w:rPr>
          <w:rFonts w:ascii="Consolas" w:hAnsi="Consolas"/>
          <w:sz w:val="18"/>
        </w:rPr>
        <w:t>19_FIRST_30_DAYS.md</w:t>
      </w:r>
      <w:r>
        <w:t>.</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