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VYTALIX — Investor one-pager</w:t>
      </w:r>
    </w:p>
    <w:p>
      <w:r>
        <w:rPr>
          <w:b/>
        </w:rPr>
        <w:t>Technology for Life</w:t>
      </w:r>
      <w:r>
        <w:t xml:space="preserve"> · UK health-technology group · Pre-seed · [Founder name] · [email] · [phone] · [website]</w:t>
      </w:r>
    </w:p>
    <w:p>
      <w:r>
        <w:rPr>
          <w:i/>
        </w:rPr>
        <w:t>Status labels: everything below is KNOWN unless marked ESTIMATE, PROPOSED or TO VALIDATE. Nothing here is a claim of traction we do not have.</w:t>
      </w:r>
    </w:p>
    <w:p>
      <w:pPr>
        <w:pStyle w:val="Heading2"/>
      </w:pPr>
      <w:r>
        <w:t>What Vytalix is</w:t>
      </w:r>
    </w:p>
    <w:p>
      <w:r>
        <w:t xml:space="preserve">A UK health-technology group with four pillars: </w:t>
      </w:r>
      <w:r>
        <w:rPr>
          <w:b/>
        </w:rPr>
        <w:t>Advisory</w:t>
      </w:r>
      <w:r>
        <w:t xml:space="preserve"> and </w:t>
      </w:r>
      <w:r>
        <w:rPr>
          <w:b/>
        </w:rPr>
        <w:t>Consulting</w:t>
      </w:r>
      <w:r>
        <w:t xml:space="preserve"> (founder-led services for healthcare organisations, health-tech companies, NGOs and governments), </w:t>
      </w:r>
      <w:r>
        <w:rPr>
          <w:b/>
        </w:rPr>
        <w:t>Health Solutions</w:t>
      </w:r>
      <w:r>
        <w:t xml:space="preserve"> (first product </w:t>
      </w:r>
      <w:r>
        <w:rPr>
          <w:b/>
        </w:rPr>
        <w:t>MaternaLink</w:t>
      </w:r>
      <w:r>
        <w:t xml:space="preserve">, a maternal care-coordination and communication platform, in development) and </w:t>
      </w:r>
      <w:r>
        <w:rPr>
          <w:b/>
        </w:rPr>
        <w:t>E-Learning</w:t>
      </w:r>
      <w:r>
        <w:t xml:space="preserve"> (planned, year 2). Services fund the company; MaternaLink is the venture story.</w:t>
      </w:r>
    </w:p>
    <w:p>
      <w:pPr>
        <w:pStyle w:val="Heading2"/>
      </w:pPr>
      <w:r>
        <w:t>The problem</w:t>
      </w:r>
    </w:p>
    <w:p>
      <w:pPr>
        <w:pStyle w:val="ListBullet"/>
      </w:pPr>
      <w:r>
        <w:t>UK maternity reviews (Ockenden, Kirkup) repeatedly identify communication and coordination failures; MBRRACE-UK reports persistent inequalities in maternal outcomes for Black and Asian women.</w:t>
      </w:r>
    </w:p>
    <w:p>
      <w:pPr>
        <w:pStyle w:val="ListBullet"/>
      </w:pPr>
      <w:r>
        <w:t>In Nigeria, maternal mortality remains among the highest globally, and continuity of contact between women and facilities is weak, especially outside cities.</w:t>
      </w:r>
    </w:p>
    <w:p>
      <w:pPr>
        <w:pStyle w:val="ListBullet"/>
      </w:pPr>
      <w:r>
        <w:t>Existing tools are either clinical record systems, consumer apps, or donor-funded programmes; few sit in the coordination layer between women, midwives and facilities in a way that is safe, low-bandwidth and interoperable.</w:t>
      </w:r>
    </w:p>
    <w:p>
      <w:pPr>
        <w:pStyle w:val="Heading2"/>
      </w:pPr>
      <w:r>
        <w:t>What we are building (PROPOSED)</w:t>
      </w:r>
    </w:p>
    <w:p>
      <w:r>
        <w:rPr>
          <w:b/>
        </w:rPr>
        <w:t>MaternaLink v1</w:t>
      </w:r>
      <w:r>
        <w:t xml:space="preserve">: non-diagnostic, offline-tolerant coordination for antenatal to postnatal care: appointment and contact continuity, two-way messaging with escalation to humans, education content governed by clinicians, and programme dashboards. Designed to stay outside medical-device classification, with a documented intended-use statement, clinical-safety governance and UK GDPR compliance. A clinical-AI risk-scoring concept exists as a </w:t>
      </w:r>
      <w:r>
        <w:rPr>
          <w:b/>
        </w:rPr>
        <w:t>research track</w:t>
      </w:r>
      <w:r>
        <w:t xml:space="preserve"> only, gated behind data partnerships, ethics approval and a regulatory pathway.</w:t>
      </w:r>
    </w:p>
    <w:p>
      <w:pPr>
        <w:pStyle w:val="Heading2"/>
      </w:pPr>
      <w:r>
        <w:t>Where we are (honest)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Have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Building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Next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brief and full company build (strategy, product, finance, brand, website, 300-investor CRM)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Entity incorporation, name clearance, IP agreement with the MaternaLink collaborator (Days 1–14)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paid advisory engagement (target Day 45)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prototype dashboard (under audit) and a prior government conversation in Nigeria (Ekiti State)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board recruitment: obstetric/midwifery, NHS digital, Nigerian health system, regulatory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UK service-evaluation site and one Nigeria NGO cohort in design (targets Day 90)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Re-based product strategy, PRD, MVP spec, roadmap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report: "The State of Digital Maternal Care Coordination — UK and Nigeria" (Week 9)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SEIS/EIS advance assurance (applied for after incorporation; TO VALIDATE)</w:t>
            </w:r>
          </w:p>
        </w:tc>
      </w:tr>
    </w:tbl>
    <w:p/>
    <w:p>
      <w:pPr>
        <w:pStyle w:val="Heading2"/>
      </w:pPr>
      <w:r>
        <w:t>Business model (ESTIMATE)</w:t>
      </w:r>
    </w:p>
    <w:p>
      <w:r>
        <w:t xml:space="preserve">Advisory day rates £1,200–£1,800; consulting sprints £15k–£60k; MaternaLink pilots £40k–£150k then per-woman-per-year licences (UK £8–£40; Africa £3–£12 at scale). Three-year Base scenario revenue £1.47m with services 59% of the total; break-even not reached within 36 months in Base; see </w:t>
      </w:r>
      <w:r>
        <w:rPr>
          <w:rFonts w:ascii="Consolas" w:hAnsi="Consolas"/>
          <w:sz w:val="18"/>
        </w:rPr>
        <w:t>/docs/08_FINANCIAL_MODEL.md</w:t>
      </w:r>
      <w:r>
        <w:t>.</w:t>
      </w:r>
    </w:p>
    <w:p>
      <w:pPr>
        <w:pStyle w:val="Heading2"/>
      </w:pPr>
      <w:r>
        <w:t>The raise (PROPOSED)</w:t>
      </w:r>
    </w:p>
    <w:p>
      <w:r>
        <w:rPr>
          <w:b/>
        </w:rPr>
        <w:t>Pre-seed £250k–£500k</w:t>
      </w:r>
      <w:r>
        <w:t xml:space="preserve"> (SEIS/EIS-eligible, TO VALIDATE) to fund a product lead, clinical-safety artefacts, the MVP build and two pilots. Milestones before raising: entity, IP deed, retired clinical claims, first services revenue, one pilot LOI. Later rounds only on evidence: Seed £1.5m–£3m (2028), Series A a 2029–30 decision.</w:t>
      </w:r>
    </w:p>
    <w:p>
      <w:pPr>
        <w:pStyle w:val="Heading2"/>
      </w:pPr>
      <w:r>
        <w:t>Why now, why us</w:t>
      </w:r>
    </w:p>
    <w:p>
      <w:r>
        <w:t>Policy attention on maternity safety and inequality in the UK; state-level digital-health programmes in Nigeria; low-cost messaging infrastructure; a founder who is building the company in the open with a truth-first operating standard and a disciplined investor process.</w:t>
      </w:r>
    </w:p>
    <w:p>
      <w:pPr>
        <w:pStyle w:val="Heading2"/>
      </w:pPr>
      <w:r>
        <w:t>Ask</w:t>
      </w:r>
    </w:p>
    <w:p>
      <w:r>
        <w:t>20 minutes to test fit against your mandate. Data room available on request once the entity and IP deed are in place.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